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600" w:lineRule="exact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</w:p>
    <w:p>
      <w:pPr>
        <w:spacing w:beforeLines="0" w:afterLines="0" w:line="600" w:lineRule="exact"/>
        <w:rPr>
          <w:rFonts w:ascii="Times New Roman" w:hAnsi="Times New Roman" w:eastAsia="方正小标宋_GBK" w:cs="Times New Roman"/>
          <w:color w:val="auto"/>
          <w:sz w:val="36"/>
          <w:szCs w:val="36"/>
        </w:rPr>
      </w:pPr>
    </w:p>
    <w:p>
      <w:pPr>
        <w:spacing w:beforeLines="0" w:afterLines="0" w:line="600" w:lineRule="exact"/>
        <w:jc w:val="center"/>
        <w:rPr>
          <w:rFonts w:ascii="Times New Roman" w:hAnsi="Times New Roman" w:eastAsia="方正小标宋简体" w:cs="Times New Roman"/>
          <w:color w:val="auto"/>
          <w:sz w:val="40"/>
          <w:szCs w:val="40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auto"/>
          <w:sz w:val="40"/>
          <w:szCs w:val="40"/>
        </w:rPr>
        <w:t>创新型省份建设专项资金项目绩效自评报告</w:t>
      </w:r>
    </w:p>
    <w:bookmarkEnd w:id="0"/>
    <w:p>
      <w:pPr>
        <w:spacing w:beforeLines="0" w:afterLines="0" w:line="600" w:lineRule="exact"/>
        <w:jc w:val="center"/>
        <w:rPr>
          <w:rFonts w:ascii="Times New Roman" w:hAnsi="Times New Roman" w:eastAsia="楷体_GB2312" w:cs="Times New Roman"/>
          <w:color w:val="auto"/>
          <w:sz w:val="32"/>
          <w:szCs w:val="32"/>
        </w:rPr>
      </w:pPr>
    </w:p>
    <w:p>
      <w:pPr>
        <w:spacing w:beforeLines="0" w:afterLines="0" w:line="600" w:lineRule="exact"/>
        <w:jc w:val="center"/>
        <w:rPr>
          <w:rFonts w:ascii="Times New Roman" w:hAnsi="Times New Roman" w:eastAsia="楷体_GB2312" w:cs="Times New Roman"/>
          <w:color w:val="auto"/>
          <w:sz w:val="32"/>
          <w:szCs w:val="32"/>
        </w:rPr>
      </w:pPr>
      <w:r>
        <w:rPr>
          <w:rFonts w:ascii="Times New Roman" w:hAnsi="Times New Roman" w:eastAsia="楷体_GB2312" w:cs="Times New Roman"/>
          <w:color w:val="auto"/>
          <w:sz w:val="32"/>
          <w:szCs w:val="32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项目承担单位参考提纲，限2000字</w:t>
      </w:r>
      <w:r>
        <w:rPr>
          <w:rFonts w:ascii="Times New Roman" w:hAnsi="Times New Roman" w:eastAsia="楷体_GB2312" w:cs="Times New Roman"/>
          <w:color w:val="auto"/>
          <w:sz w:val="32"/>
          <w:szCs w:val="32"/>
        </w:rPr>
        <w:t>）</w:t>
      </w:r>
    </w:p>
    <w:p>
      <w:pPr>
        <w:adjustRightInd w:val="0"/>
        <w:spacing w:beforeLines="0" w:afterLines="0" w:line="600" w:lineRule="exact"/>
        <w:ind w:right="641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概况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（一）项目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实施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单位基本情况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（二）项目绩效目标设置及完成情况，包括总体目标、年度目标以及细化目标。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二、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资金使用及管理情况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及配套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资金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安排落实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情况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资金实际使用情况。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资金管理情况分析，主要包括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相关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管理制度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制订及执行情况。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三、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组织实施情况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组织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实施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情况，主要包括项目招投标、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经费预算调整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、竣工验收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、资产管理、项目合作管理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等情况。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四、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项目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绩效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完成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情况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包括项目过程管理、产出、效益等情况。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ascii="Times New Roman" w:hAnsi="Times New Roman" w:eastAsia="黑体" w:cs="Times New Roman"/>
          <w:color w:val="auto"/>
          <w:sz w:val="32"/>
          <w:szCs w:val="32"/>
        </w:rPr>
        <w:t>五、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主要经验做法、存在的问题及原因分析</w:t>
      </w:r>
    </w:p>
    <w:p>
      <w:pPr>
        <w:adjustRightInd w:val="0"/>
        <w:snapToGrid w:val="0"/>
        <w:spacing w:beforeLines="0" w:afterLines="0" w:line="600" w:lineRule="exact"/>
        <w:ind w:firstLine="640" w:firstLineChars="200"/>
        <w:rPr>
          <w:rFonts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六、有关建议</w:t>
      </w:r>
    </w:p>
    <w:p>
      <w:pPr>
        <w:adjustRightInd w:val="0"/>
        <w:snapToGrid w:val="0"/>
        <w:spacing w:beforeLines="0" w:afterLines="0" w:line="600" w:lineRule="exact"/>
        <w:ind w:firstLine="640" w:firstLineChars="200"/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七、</w:t>
      </w:r>
      <w:r>
        <w:rPr>
          <w:rFonts w:ascii="Times New Roman" w:hAnsi="Times New Roman" w:eastAsia="黑体" w:cs="Times New Roman"/>
          <w:color w:val="auto"/>
          <w:sz w:val="32"/>
          <w:szCs w:val="32"/>
        </w:rPr>
        <w:t>其他需要说明的问题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B0300000000000000"/>
    <w:charset w:val="86"/>
    <w:family w:val="script"/>
    <w:pitch w:val="default"/>
    <w:sig w:usb0="00000000" w:usb1="00000000" w:usb2="00000016" w:usb3="00000000" w:csb0="00060007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ind w:right="360" w:firstLine="360"/>
      <w:jc w:val="center"/>
      <w:rPr>
        <w:rStyle w:val="6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317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t>17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NSN&#10;cRTSAAAABQEAAA8AAAAAAAAAAQAgAAAAIgAAAGRycy9kb3ducmV2LnhtbFBLAQIUABQAAAAIAIdO&#10;4kB8bXwOtwEAAFUDAAAOAAAAAAAAAAEAIAAAACEBAABkcnMvZTJvRG9jLnhtbFBLBQYAAAAABgAG&#10;AFkBAABKBQAAAAA=&#10;">
              <v:path/>
              <v:fill on="f" focussize="0,0"/>
              <v:stroke on="f" weight="2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sz w:val="24"/>
                        <w:szCs w:val="24"/>
                      </w:rPr>
                      <w:t>17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  <w:p/>
                </w:txbxContent>
              </v:textbox>
            </v:shape>
          </w:pict>
        </mc:Fallback>
      </mc:AlternateContent>
    </w:r>
  </w:p>
  <w:p>
    <w:pPr>
      <w:pStyle w:val="2"/>
      <w:ind w:right="360" w:firstLine="360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174B51"/>
    <w:rsid w:val="5617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2020-05-11T07:31:00Z</dcterms:created>
  <dc:creator>刘泉江</dc:creator>
  <cp:lastModifiedBy>刘泉江</cp:lastModifiedBy>
  <dcterms:modified xsi:type="dcterms:W3CDTF">2020-05-11T07:32:21Z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