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2BE" w:rsidRPr="002E72BE" w:rsidRDefault="002E72BE" w:rsidP="002E72BE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E72B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附件3</w:t>
      </w:r>
      <w:bookmarkStart w:id="0" w:name="_GoBack"/>
      <w:bookmarkEnd w:id="0"/>
    </w:p>
    <w:p w:rsidR="002E72BE" w:rsidRPr="002E72BE" w:rsidRDefault="002E72BE" w:rsidP="002E72BE">
      <w:pPr>
        <w:widowControl/>
        <w:shd w:val="clear" w:color="auto" w:fill="FFFFFF"/>
        <w:spacing w:line="480" w:lineRule="auto"/>
        <w:ind w:firstLine="480"/>
        <w:jc w:val="center"/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</w:pPr>
      <w:r w:rsidRPr="002E72BE">
        <w:rPr>
          <w:rFonts w:ascii="宋体" w:eastAsia="宋体" w:hAnsi="宋体" w:cs="宋体" w:hint="eastAsia"/>
          <w:b/>
          <w:color w:val="333333"/>
          <w:kern w:val="0"/>
          <w:sz w:val="28"/>
          <w:szCs w:val="28"/>
        </w:rPr>
        <w:t>湖南省生态环境保护技术评估专家专业(行业)分类表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17"/>
        <w:gridCol w:w="1701"/>
        <w:gridCol w:w="3969"/>
        <w:gridCol w:w="992"/>
        <w:gridCol w:w="943"/>
      </w:tblGrid>
      <w:tr w:rsidR="002E72BE" w:rsidRPr="002E72BE" w:rsidTr="002A2A12">
        <w:trPr>
          <w:jc w:val="center"/>
        </w:trPr>
        <w:tc>
          <w:tcPr>
            <w:tcW w:w="7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主修行业/行业方向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编号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8"/>
                <w:szCs w:val="28"/>
              </w:rPr>
              <w:t>备注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环境政策标准及规划研究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环境管理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环境规划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环境法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环境标准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环境政策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环境经济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生态环境损害鉴定评估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环境影响评价(含排污许可)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石油、天然气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水利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农、林、牧、渔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地质勘查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黑色金属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有色金属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金属制品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非金属矿采选及制品制造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机械、电子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石化、化工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轻工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医药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煤炭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电力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纺织化纤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公路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铁路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民航机场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水运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城市交通设施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城市基础设施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社会事业与服务业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29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电磁辐射、电离辐射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水污染防治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工业污水治理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农业污水治理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市政污水治理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入河排污口管理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饮用水源管理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湖泊保护与水体生态修复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流域管理与环境监管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自然水体修复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大气污染防治</w:t>
            </w:r>
          </w:p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(含噪声)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火力发电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39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钢铁及有色金属冶炼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建材工业(玻璃水泥等)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石化化工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其他行业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应对气候变化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噪声污染防治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土壤(地下水)污染治理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土壤污染风险调查评估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地下水环境调查与评估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土壤污染治理与修复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农业农村污染防治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49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地质环境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固体(危险)废物及重金属污染防治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危险废物综合利用(化工类)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危险废物综合利用(冶金类)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危险废物处置(焚烧、填埋,含水泥窑协同处置)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重金属污染防治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环境监测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水环境监测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大气环境监测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土壤环境质量调查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声环境监测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辐射环境监测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59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生态环境监测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核与辐射污染防治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电离辐射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电磁辐射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9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环境应急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大气环境应急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水环境应急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固体废物及重金属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核与辐射类环境应急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环境执法和督察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环境执法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67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环境督察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68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环境信息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信息技术应用及服务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69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计算机网络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70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网络与信息安全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71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数据通讯与监控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72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自然生态保护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生态示范创建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73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生态保护与修复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74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自然保护地与生物多样性保护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75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2E72BE" w:rsidRPr="002E72BE" w:rsidTr="002A2A12">
        <w:trPr>
          <w:jc w:val="center"/>
        </w:trPr>
        <w:tc>
          <w:tcPr>
            <w:tcW w:w="71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E72BE" w:rsidRPr="002E72BE" w:rsidRDefault="002E72BE" w:rsidP="002E72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生态保护红线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76</w:t>
            </w:r>
          </w:p>
        </w:tc>
        <w:tc>
          <w:tcPr>
            <w:tcW w:w="9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72BE" w:rsidRPr="002E72BE" w:rsidRDefault="002E72BE" w:rsidP="002E72BE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2E72BE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</w:tbl>
    <w:p w:rsidR="002B25C5" w:rsidRDefault="002B25C5" w:rsidP="002E72BE"/>
    <w:sectPr w:rsidR="002B2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858" w:rsidRDefault="00D82858" w:rsidP="002E72BE">
      <w:r>
        <w:separator/>
      </w:r>
    </w:p>
  </w:endnote>
  <w:endnote w:type="continuationSeparator" w:id="0">
    <w:p w:rsidR="00D82858" w:rsidRDefault="00D82858" w:rsidP="002E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858" w:rsidRDefault="00D82858" w:rsidP="002E72BE">
      <w:r>
        <w:separator/>
      </w:r>
    </w:p>
  </w:footnote>
  <w:footnote w:type="continuationSeparator" w:id="0">
    <w:p w:rsidR="00D82858" w:rsidRDefault="00D82858" w:rsidP="002E7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8FD"/>
    <w:rsid w:val="000928FD"/>
    <w:rsid w:val="002A2A12"/>
    <w:rsid w:val="002B25C5"/>
    <w:rsid w:val="002E72BE"/>
    <w:rsid w:val="0033772E"/>
    <w:rsid w:val="00A63297"/>
    <w:rsid w:val="00D82858"/>
    <w:rsid w:val="00FB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2BE"/>
    <w:rPr>
      <w:sz w:val="18"/>
      <w:szCs w:val="18"/>
    </w:rPr>
  </w:style>
  <w:style w:type="paragraph" w:styleId="a5">
    <w:name w:val="Normal (Web)"/>
    <w:basedOn w:val="a"/>
    <w:uiPriority w:val="99"/>
    <w:unhideWhenUsed/>
    <w:rsid w:val="002E7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2BE"/>
    <w:rPr>
      <w:sz w:val="18"/>
      <w:szCs w:val="18"/>
    </w:rPr>
  </w:style>
  <w:style w:type="paragraph" w:styleId="a5">
    <w:name w:val="Normal (Web)"/>
    <w:basedOn w:val="a"/>
    <w:uiPriority w:val="99"/>
    <w:unhideWhenUsed/>
    <w:rsid w:val="002E7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196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2020-10-09T02:14:00Z</dcterms:created>
  <dcterms:modified xsi:type="dcterms:W3CDTF">2020-10-09T02:26:00Z</dcterms:modified>
</cp:coreProperties>
</file>