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eastAsia" w:ascii="方正小标宋简体" w:hAnsi="方正小标宋简体" w:eastAsia="方正小标宋简体" w:cs="方正小标宋简体"/>
          <w:b/>
          <w:bCs/>
          <w:sz w:val="44"/>
          <w:szCs w:val="44"/>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2022年度国家自然科学基金区域创新</w:t>
      </w:r>
      <w:r>
        <w:rPr>
          <w:rFonts w:hint="eastAsia" w:ascii="方正小标宋简体" w:hAnsi="方正小标宋简体" w:eastAsia="方正小标宋简体" w:cs="方正小标宋简体"/>
          <w:b/>
          <w:bCs/>
          <w:sz w:val="44"/>
          <w:szCs w:val="44"/>
          <w:lang w:val="en-US" w:eastAsia="zh-CN"/>
        </w:rPr>
        <w:t>发展</w:t>
      </w:r>
      <w:r>
        <w:rPr>
          <w:rFonts w:hint="eastAsia" w:ascii="方正小标宋简体" w:hAnsi="方正小标宋简体" w:eastAsia="方正小标宋简体" w:cs="方正小标宋简体"/>
          <w:b/>
          <w:bCs/>
          <w:sz w:val="44"/>
          <w:szCs w:val="44"/>
        </w:rPr>
        <w:t>联合基金（湖南省）项目指南</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（征求意见稿）</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0"/>
        <w:rPr>
          <w:rFonts w:hint="eastAsia" w:ascii="方正小标宋简体" w:hAnsi="方正小标宋简体" w:eastAsia="方正小标宋简体" w:cs="方正小标宋简体"/>
          <w:b/>
          <w:bCs/>
          <w:sz w:val="44"/>
          <w:szCs w:val="44"/>
        </w:rPr>
      </w:pPr>
    </w:p>
    <w:p>
      <w:pPr>
        <w:spacing w:line="360" w:lineRule="auto"/>
        <w:jc w:val="left"/>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一.生物与农业</w:t>
      </w:r>
      <w:r>
        <w:rPr>
          <w:rFonts w:hint="eastAsia" w:ascii="Times New Roman" w:hAnsi="Times New Roman" w:eastAsia="黑体" w:cs="Times New Roman"/>
          <w:bCs/>
          <w:sz w:val="32"/>
          <w:szCs w:val="32"/>
        </w:rPr>
        <w:t>领域</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围绕湖南农业产业可持续发展中的重</w:t>
      </w:r>
      <w:bookmarkStart w:id="2" w:name="_GoBack"/>
      <w:bookmarkEnd w:id="2"/>
      <w:r>
        <w:rPr>
          <w:rFonts w:ascii="Times New Roman" w:hAnsi="Times New Roman" w:eastAsia="仿宋_GB2312" w:cs="Times New Roman"/>
          <w:color w:val="000000"/>
          <w:sz w:val="32"/>
          <w:szCs w:val="32"/>
        </w:rPr>
        <w:t>大科学问题和关键技术问题，开展湖南优势粮食作物、优势经济作物、特色畜牧水产的重要性状遗传基础、种质创新及杂种优势利用等基础研究。主要研究方向包括：</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1.杂交水稻杂种优势分子机理与分子设计</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以升级水稻杂种优势利用水平为目标，研究杂种优势形成的分子机制，挖掘控制杂种优势的重要基因，建立杂种优势预测模型，创新杂交水稻育种理论与技术。</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2.水稻养分高效遗传调控与种质创新</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以提高籼稻养分利用效率为需求背景，挖掘水稻氮、磷、钾等营养元素高效利用的基因，阐明其分子调控网络，创制养分高效利用水稻新种质。</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3.水稻逆境胁迫响应的生物学基础与应用</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针对水稻生产的生物逆境与非生物逆境危害，研究异常温度、湿度及病、虫、草害成灾机理，水稻在遗传变异或表观变异水平对逆境胁迫的应答机制，创制抗逆水稻新种质。</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4.湖南特色经济作物优异基因发掘与功能分析</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湖南玉米、蔬菜、茶树、油菜、油茶、水果、中药材等经济作物新品种创制的核心基础科学问题，开展种质资源收集、鉴定与创新研究，发掘调控农艺性状、经济性状以及抗逆性状的优异基因，解析重要性状的分子遗传机制。</w:t>
      </w:r>
    </w:p>
    <w:p>
      <w:pPr>
        <w:spacing w:line="360" w:lineRule="auto"/>
        <w:ind w:firstLine="643" w:firstLineChars="200"/>
        <w:jc w:val="left"/>
        <w:outlineLvl w:val="0"/>
        <w:rPr>
          <w:rFonts w:ascii="Times New Roman" w:hAnsi="Times New Roman" w:eastAsia="仿宋_GB2312" w:cs="Times New Roman"/>
          <w:color w:val="000000"/>
          <w:sz w:val="32"/>
          <w:szCs w:val="32"/>
        </w:rPr>
      </w:pPr>
      <w:r>
        <w:rPr>
          <w:rFonts w:ascii="Times New Roman" w:hAnsi="Times New Roman" w:eastAsia="仿宋_GB2312" w:cs="Times New Roman"/>
          <w:b/>
          <w:bCs/>
          <w:sz w:val="32"/>
          <w:szCs w:val="32"/>
        </w:rPr>
        <w:t>5.湖南优势经济作物品质形成的分子机制研究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蔬菜、茶叶、油菜、油茶、中药材、果树、麻类等重要经济作物产业发展存在的瓶颈问题，开展湖南特色经济作物生物活性成分的调控机理及高值化利用研究，阐明其特征品质形成的化学与生物学分子机制，开发加工品质定向调控新技术，提升湖南特色经济作物品质。</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6.特色畜禽、水产动物重要性状遗传调控机制及其利用</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畜禽、水产动物种质保护和提升的需求，研究其生长、繁殖、抗病及抗逆等优良性状形成的遗传基础，解析其生长、繁殖、抗病与抗逆的调控机制；建立其多组学研究技术体系；为改良地方特色畜禽、水产动物提供理论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7.特色畜禽、水产动物营养与免疫调控的分子机制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畜禽、水产动物健康养殖所需，研究饲料代谢及其调控机体健康的机制；探索宿主与胃肠道微生物互作机理，阐明宿主抵御病原微生物的免疫机理；解析优质产品品质形成的分子机制；阐明代谢-免疫网络调控地方特色畜禽、水产动物机体健康的机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以上研究方向鼓励申请人与湖南省内具有一定研究实力和研究条件的高等院校或研究机构开展合作研究。</w:t>
      </w:r>
    </w:p>
    <w:p>
      <w:pPr>
        <w:widowControl/>
        <w:jc w:val="lef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br w:type="page"/>
      </w:r>
    </w:p>
    <w:p>
      <w:pPr>
        <w:spacing w:line="360" w:lineRule="auto"/>
        <w:jc w:val="left"/>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二.环境与生态领域</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围绕湖南生态环境安全与生态系统可持续管理的重大需求，深入开展典型区域生态环境过程机理、效应与调控等基础与应用基础研究。主要研究方向包括：</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1.湘江流域新兴污染物检测识别与健康效应</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湘江流域污染物，特别是抗生素、抗性基因、新型难降解有机物与微塑料等典型新兴污染物的环境行为特点，研究新兴污染物的快速检测方法和技术，阐明新兴污染物在土壤-水体-作物多介质环境中的迁移转化行为、时空分布特征与复合污染效应，揭示污染物的生态毒理与修复技术原理，为湘江流域生态环境风险防控提供科学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2.湖南典型废物低碳利用机理及驱动机制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研究湖南省典型废物（农林废弃物、畜禽养殖废弃物、餐厨垃圾、矿山废物、废蓄电池等）组分原位、处置全过程的物质转化及时空分配特征，探明多元组分的多界面行为及界面传递强化机制、交互作用与反作用机制，探究关键组分低碳利用的机理、精准驱动与靶向强化机制，为废物资源清洁低碳利用提供理论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3.湖南农田典型重金属污染地球化学行为与防控机制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农田重金属污染，研究典型农田重金属污染发展及演化全过程地球化学行为过程，阐明农田重金属在成土过程、土壤-作物体系中的传输、迁移转化过程与机理，厘清重金属污染元素的生物有效性、控制因子及污染阀值，建立重金属定量检测、风险评价及防控关键技术，揭示协同阻控与修复技术原理，为农田安全利用、粮食安全生产提供理论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4.典型生态系统碳形成过程及其驱动机制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碳达峰”与“碳中和”的目标需求，开展典型生态系统（森林、湿地、农田、城市等）固碳增汇研究，解析碳循环生物地球化学过程及驱动机制，阐明生态系统碳汇时空变化格局及调控机理，明晰重大生态工程（石漠化治理、退耕还林还草等）碳固持与水消耗的权衡关系，构建碳收支模型从生态系统到区域尺度评估生态系统碳汇潜力，为探索基于自然生态系统的增汇减排模式提供理论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5.洞庭湖流域生物多样性保育与服务功能提升机理</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洞庭湖流域生态保护与修复需求，研究洞庭湖湿地格局变化与生态水文过程的耦合机制，解析洞庭湖流域氮磷污染源及典型外来生物入侵过程及灾变机理，揭示人类干扰下流域外来生物入侵、水体富营养化生态风险，提出流域生物多样性保育、生产-生态功能协同提升的技术途径，为洞庭湖流域整体治理提供科学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6.湖南山丘区水土资源保护与生态调控</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喀斯特山地、紫色土、红壤丘陵等生态脆弱区生态退化问题，研究经果林、耕地等水土流失规律及土壤碳、氮、磷等生源物质的迁移转化过程与环境效应，阐明植被恢复与生态水文过程的耦合机制，研发农业面源污染综合防治关键技术；探讨山丘区开发过程中社会-生态系统演变过程及互馈机制，开展水土涵养与耕地质量提升技术研究，提出湖南山丘区生态保育方法及人地协同调控策略。</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以上研究方向鼓励申请人与湖南省内具有一定研究实力和研究条件的高等院校或研究机构开展合作研究。</w:t>
      </w:r>
    </w:p>
    <w:p>
      <w:pPr>
        <w:widowControl/>
        <w:jc w:val="left"/>
        <w:rPr>
          <w:rFonts w:ascii="Times New Roman" w:hAnsi="Times New Roman" w:eastAsia="黑体" w:cs="Times New Roman"/>
          <w:bCs/>
          <w:sz w:val="32"/>
          <w:szCs w:val="32"/>
        </w:rPr>
      </w:pPr>
      <w:r>
        <w:rPr>
          <w:rFonts w:ascii="Times New Roman" w:hAnsi="Times New Roman" w:eastAsia="黑体" w:cs="Times New Roman"/>
          <w:bCs/>
          <w:sz w:val="32"/>
          <w:szCs w:val="32"/>
        </w:rPr>
        <w:br w:type="page"/>
      </w:r>
    </w:p>
    <w:p>
      <w:pPr>
        <w:spacing w:line="360" w:lineRule="auto"/>
        <w:jc w:val="left"/>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三.新材料和先进制造领域</w:t>
      </w:r>
    </w:p>
    <w:p>
      <w:pPr>
        <w:spacing w:line="6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针对湖南在航空航天、国防军工、交通、能源、先进制造行业发展的重大需求，围绕有色金属资源及新型合金、化工与催化材料、复杂器件和构件制造等开展基础与应用基础研究。</w:t>
      </w:r>
      <w:r>
        <w:rPr>
          <w:rFonts w:ascii="Times New Roman" w:hAnsi="Times New Roman" w:eastAsia="仿宋_GB2312" w:cs="Times New Roman"/>
          <w:sz w:val="32"/>
          <w:szCs w:val="32"/>
        </w:rPr>
        <w:t>主要研究方向包括：</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1.有色金属合金与资源高效利用</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高端装备的急需和有色金属的绿色增值利用，开展高综合性能有色金属（包括铝、镁、铜及其复合材料等）的成分设计方法以及组织演变与残余应力等缺陷调控技术研究，优化材料力学性能和服役行为；发展非传统锂铝等有色金属资源绿色增值利用的新原理与新方法；研究特种粉末冶金材料（如粗晶硬质合金、钨钼难熔金属等）先进制备技术及组织结构调控机制，探索其极端环境下的组织与力学性能的构效关系规律。</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2.新型功能陶瓷与复合材料的设计与系统优化</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人工智能、5G通讯、以及工业物联网等高端产业需求，开展新型电子陶瓷与智能器件的成分与微结构设计、合成制备以及系统性能优化研究。发展铁电陶瓷及其复合材料与器件的结构设计，突破驱动、传感、能量存储与转换为代表的关键技术。构筑多维铁电复合材料，突破能量收集实现微纳器件的自供电以及温度管理技术；发展高居里温度层状氧化物高温压电陶瓷，突破600</w:t>
      </w:r>
      <w:r>
        <w:rPr>
          <w:rFonts w:hint="eastAsia" w:ascii="宋体" w:hAnsi="宋体" w:eastAsia="宋体" w:cs="宋体"/>
          <w:color w:val="000000"/>
          <w:sz w:val="32"/>
          <w:szCs w:val="32"/>
        </w:rPr>
        <w:t>℃</w:t>
      </w:r>
      <w:r>
        <w:rPr>
          <w:rFonts w:ascii="Times New Roman" w:hAnsi="Times New Roman" w:eastAsia="仿宋_GB2312" w:cs="Times New Roman"/>
          <w:color w:val="000000"/>
          <w:sz w:val="32"/>
          <w:szCs w:val="32"/>
        </w:rPr>
        <w:t>及以上高温环境下材料性能稳定化关键技术；发展可穿戴、多功能信息存储材料器件设计与制备技术，实现光电智能调控。</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3.单原子催化剂与新型金属纳米晶设计、制备与应用基础理论研究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新能源、化工领域的发展需求，发展单原子催化剂的制备方法，形成提高原子负载量及其利用率的新原理新方法；研究单原子催化剂的配位几何结构、活性位点分布、电子结构、载体微纳结构的多尺度调控方法；发展新型结构金属纳米晶精准制备的新理论与新方法，研究特殊纳米晶结构与功能特性的调控规律；面向能源小分子电催化转化，建立催化剂的构效关系，精准调控催化活性和选择性；设计开发具有高本征活性、高活性位点密度、高荷质输运效率的电极或催化器件，应用于大电流/大功率密度能源转化过程以及其它化学工业催化过程。</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4.宽温域、高比能碱金属离子二次电池关键材料的设计及制备科学</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电动汽车、国防军工等领域对宽温域、高比能、低成本二次电池的迫切需求，开展锂、钾等碱金属离子二次电池关键材料、界面特性、储能机理和服役性能等基础理论研究：发展集成高分辨率原位谱学表征新方法和高通量、机器学习计算方法，实现材料-界面-性能关系的快速理论设计和预测，揭示高效储能新机制、容量衰减及失效机理，阐明关键影响因素，发展关键材料制备技术原型，为新型高性能储能器件的设计奠定理论基础和提供技术支撑。</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5.极端工况下摩擦副的摩擦润滑机制与失效演化机理</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湖南省航空航天、新能源汽车、轨道交通等领域发展需求，研究典型制动和传动系统摩擦副极端工况条件下的摩擦润滑机制与失效机理，探究改善摩擦学行为的新技术新方法。主要包括：研究摩擦材料性能精确调控机理；探索高耐磨、自润滑等技术方法及其对摩擦副工作性能的改善机制；建立高滑移摩擦副刚柔动力学模型，揭示失效的时变演化过程；研究多层级动态可靠性评估方法，实现摩擦副剩余承载能力准确预测。</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6.复杂零构件成形制造的形性协同机理、演变规律及控制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航空航天、高速列车、医疗器械等领域对高性能高精度零构件制造的需求，结合典型零构件，研究流变成形、3D打印等制造方法的形性协同机理与演变规律，探索高性能制造新技术。主要包括：复合能场或能束作用下材料的特征微结构演变、成形成性机理及精确表征；制造工艺参数、几何构型等对零构件宏观变形、残余应力、微观组织及性能的影响规律，建立变形预测、补偿及控制的数学模型；形成高性能的形性一体化智能制造工艺与技术。</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7.光电子器件制造的功能微结构精度形成机理及其控制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光纤通信、光伏发电、半导体显示等领域对光电子器件的制造需求，研究其功能微结构的精度成形机理，探索器件的高性能高精度微纳制造技术。主要包括：微纳制造工艺参数对功能微结构精度的影响机理与规律，制造精度对器件性能的影响机制；基于实际制造工艺、精度特性、误差补偿的器件功能结构设计优化；研究光电子器件的高精度、高性能制造工艺与运动控制技术，实现器件的亚微米精度微结构制造及其封装集成。</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以上研究方向鼓励申请人与湖南省内具有一定研究实力和研究条件的高等院校或研究机构开展合作研究。</w:t>
      </w:r>
      <w:r>
        <w:rPr>
          <w:rFonts w:ascii="Times New Roman" w:hAnsi="Times New Roman" w:eastAsia="仿宋_GB2312" w:cs="Times New Roman"/>
          <w:color w:val="000000"/>
          <w:sz w:val="32"/>
          <w:szCs w:val="32"/>
        </w:rPr>
        <w:br w:type="page"/>
      </w:r>
    </w:p>
    <w:p>
      <w:pPr>
        <w:spacing w:line="360" w:lineRule="auto"/>
        <w:jc w:val="left"/>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四.电子信息领域</w:t>
      </w:r>
    </w:p>
    <w:p>
      <w:pPr>
        <w:spacing w:line="6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针对湖南工业和社会发展对信息技术的需求，开展精准医疗、智能感知、定位导航、生物信息等相关领域计算和信息处理的应用基础研究。</w:t>
      </w:r>
      <w:r>
        <w:rPr>
          <w:rFonts w:ascii="Times New Roman" w:hAnsi="Times New Roman" w:eastAsia="仿宋_GB2312" w:cs="Times New Roman"/>
          <w:sz w:val="32"/>
          <w:szCs w:val="32"/>
        </w:rPr>
        <w:t>主要研究方向包括：</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1.多模态影像引导的全疗程智能精准放疗关键技术研究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放射治疗是恶性肿瘤的三大主要治疗手段之一。针对肿瘤患者个体化精准自适应放疗需求，研究MRI-CT-CBCT/MVCT多模态影像智能转换、多目标同步智能分割以及全自由度4π空间智能优化方法，实现非共面放疗计划的智能制定与评估；结合四维CT、CBCT以及光学体表影像，研究肿瘤位置实时无创预测方法，补偿肿瘤运动对放疗照射精度造成的影响；构建多模态影像引导的</w:t>
      </w:r>
      <w:bookmarkStart w:id="0" w:name="_Hlk69151847"/>
      <w:r>
        <w:rPr>
          <w:rFonts w:ascii="Times New Roman" w:hAnsi="Times New Roman" w:eastAsia="仿宋_GB2312" w:cs="Times New Roman"/>
          <w:color w:val="000000"/>
          <w:sz w:val="32"/>
          <w:szCs w:val="32"/>
        </w:rPr>
        <w:t>全疗程智能精准</w:t>
      </w:r>
      <w:bookmarkEnd w:id="0"/>
      <w:r>
        <w:rPr>
          <w:rFonts w:ascii="Times New Roman" w:hAnsi="Times New Roman" w:eastAsia="仿宋_GB2312" w:cs="Times New Roman"/>
          <w:color w:val="000000"/>
          <w:sz w:val="32"/>
          <w:szCs w:val="32"/>
        </w:rPr>
        <w:t>放疗系统，完成典型肿瘤病例的临床应用测试。</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2.窄长封闭空间</w:t>
      </w:r>
      <w:bookmarkStart w:id="1" w:name="_Hlk69162093"/>
      <w:r>
        <w:rPr>
          <w:rFonts w:ascii="Times New Roman" w:hAnsi="Times New Roman" w:eastAsia="仿宋_GB2312" w:cs="Times New Roman"/>
          <w:b/>
          <w:bCs/>
          <w:sz w:val="32"/>
          <w:szCs w:val="32"/>
        </w:rPr>
        <w:t>定位导航</w:t>
      </w:r>
      <w:bookmarkEnd w:id="1"/>
      <w:r>
        <w:rPr>
          <w:rFonts w:ascii="Times New Roman" w:hAnsi="Times New Roman" w:eastAsia="仿宋_GB2312" w:cs="Times New Roman"/>
          <w:b/>
          <w:bCs/>
          <w:sz w:val="32"/>
          <w:szCs w:val="32"/>
        </w:rPr>
        <w:t>授时PNT机制及关键技术</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高铁、地铁、高速公路、地下管道、矿井等地下窄长封闭空间中车辆、人员等实时精密定位与精细作业难题，开展低成本、高精度、高可信的定位导航授时（PNT）机制、理论和关键技术研究，突破地下窄长封闭空间的时空信息连续精密获取、时空基准绝对统一和高精度电子地图构建等技术瓶颈，为国家智能交通、智慧矿山以及泛在PNT体系建设和发展提供理论和技术支撑。</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3.智能感知、检测与人机交互关键技术研究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研究多源信息融合的智能感知与检测方法，实现复杂产品表面缺陷的高精度智能识别；研究视觉观测与动作行为协调建模，实现机器人全自主运动与作业；研究基于行为认知图谱的跨域多任务行为规划、自主知识获取与表达、行为决策和操作技能的自主学习与优化，实现场景适应的复杂多任务智能；研究自然语言、手势等多模态融合的人机自然交互理论和方法、人机交互关系模型、交互意图识别方法等，实现技术验证与功能示范。</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4.面向Micro-LED显示的垂直氧化物薄膜晶体管研究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围绕国家和湖南省显示产业链的需要，针对Micro-LED显示驱动技术开展新结构氧化物薄膜晶体管的基础科学问题和应用技术研究。发展具有超短沟道的垂直结构晶体管构建方法，解决晶体管驱动电流低下、体积大、驱动晶体管响应速度慢等难题；研究高柔性的垂直氧化物薄膜晶体管，阐明大尺寸、短沟道下垂直载流子输运的应力与物相调控原理。构建亚5纳米物理沟道长度的氧化物垂直晶体管阵列，其驱动电流大于100 A/cm2，实现氮化镓Micro-LED驱动的原型演示。</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5.基于超算与多组学的智能医药大数据关键技术研究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重大疾病的医疗需求，结合湖南省健康医药大数据产业，以国产超级计算机为平台，整合分析多组学数据，开展基于人工智能的医药大数据关键技术研究。包括多源异构数据的有效融合，基于多源异构数据的个性化预测分析，面向大规模多源异构数据的高效并行计算，可解释医药知识图谱的构建，以及基于多组学和人工智能的药物相互作用挖掘。本研究重点应用于肿瘤、阿尔兹海默症等重大疾病，建设生物医药大数据智能化支撑平台。</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6.面向高噪声冷冻电镜图像的病毒三维重构算法与应用研究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冷冻电镜图像的高噪声、信息缺失等特点，研究病毒分子高精度三维重构的理论和关键技术，研究病毒对称失配重构、非对称重构的新模型和新算法；构建面向大尺度、高通量冷冻电镜图像处理需求的病毒三维重构平台；针对几种典型的病毒分子，如疱疹病毒、腺病毒、噬菌体病毒等，实现对称失配原子结构解析，为冷冻电镜技术提供技术支撑，为相关的疾病防控及药物设计提供丰富的结构信息。</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7.跨介质媒体桥关键技术及应用</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文化创意数字媒体作品在存储、传输和交互中的安全需求，研究基于深度学习框架、面向图像/视频的跨介质媒体桥关键技术及应用，解决物理介质媒体和互联网数字媒体的安全交互技术瓶颈。重点突破大容量媒体桥传输、变换域信息嵌入与提取、结合模型和数据驱动的深度网络设计、隐马尔科夫模型优化、抗多种媒体攻击（几何、打印、扫描、拍摄和转码），实现版权保护和来源追溯，支撑湖南文化创意产业的健康发展。</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以上研究方向鼓励申请人与湖南省内具有一定研究实力和研究条件的高等院校或研究机构开展合作研究。</w:t>
      </w:r>
    </w:p>
    <w:p>
      <w:pPr>
        <w:widowControl/>
        <w:jc w:val="lef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br w:type="page"/>
      </w:r>
    </w:p>
    <w:p>
      <w:pPr>
        <w:spacing w:line="360" w:lineRule="auto"/>
        <w:jc w:val="left"/>
        <w:outlineLvl w:val="0"/>
        <w:rPr>
          <w:rFonts w:ascii="Times New Roman" w:hAnsi="Times New Roman" w:eastAsia="黑体" w:cs="Times New Roman"/>
          <w:bCs/>
          <w:sz w:val="32"/>
          <w:szCs w:val="32"/>
        </w:rPr>
      </w:pPr>
      <w:r>
        <w:rPr>
          <w:rFonts w:ascii="Times New Roman" w:hAnsi="Times New Roman" w:eastAsia="黑体" w:cs="Times New Roman"/>
          <w:bCs/>
          <w:sz w:val="32"/>
          <w:szCs w:val="32"/>
        </w:rPr>
        <w:t>五.人口与健康领域</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立足湖南常见的呼吸道感染性疾病、毒品成瘾、药源性肾损伤、代谢与自身免疫性疾病，恶性肿瘤和心脑血管性疾病及人口老龄化问题，结合高通量多组学技术、多模态神经影像技术、新型药物递送系统等热点研究方法，构建基于大数据的疾病预警和网络调控模型，探讨环境、药物等影响因素在疾病致病机制中的作用，以及重大疾病的中医证候要素、药物精准治疗与分子靶向机制。主要研究方向包括：</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1.呼吸道感染性疾病病原体检测及其致病机制的研究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呼吸道非典型病原体检测困难和不同人群感染疾病严重程度及预后存在差异的问题，通过大数据建立具区域分布特点的呼吸道病原体流行谱，研发高通量测序靶向呼吸道病原体检测方法，及时发现新疫情和指导临床个体化精准用药。利用多组学技术和大数据机器学习算法，发现不同病原体在呼吸道疾病进程中的致病机制和防治靶点，阐明相关的调控网络和信号通路，探讨宏基因组等多组学技术在呼吸道疾病的防治及疾病传播的预警数据模型中的作用及功能。</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2.毒品成瘾神经生物学及复吸机制研究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毒品成瘾的高复吸率以及缺乏有效临床干预措施的问题，以不同类型药物成瘾人群为研究对象，采用多模态神经影像技术对成瘾患者在成瘾过程中不同阶段（近期戒断、远期戒断、复吸）进行纵向跟踪，结合多层次组学、生物信息学、临床生化指标以及临床心理干预，阐明其不同类型药物成瘾不同阶段以及临床心理干预的神经生物学机制，构建基于多模态影像组学及新型分子探针技术等多层次系统组学的最优复吸预测模型，挖掘出与药物成瘾和复吸行为密切相关的神经影像学靶点以及生物学标记物，用于监测和揭示不同成瘾人群疾病发展规律，提高药物成瘾复吸预测准确率，为强戒干预治疗及复吸预测提供临床支持。</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3.恶性肿瘤的药物基因组学与个体化治疗</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抗恶性肿瘤药物疗效及安全性缺乏有效的个体化监测指标的重要临床问题，采用药物多组学技术，从基因组、代谢组和微生物组等多维度探索影响抗恶性肿瘤药物疗效和毒副反应个体差异的分子机制及调控规律。依托大数据和人工智能，整合分析药物多组学的基础与临床研究数据，筛选与鉴定影响抗恶性肿瘤药物有效性和安全性的多组学生物标志物，并进行独立人群验证，建立个体化抗恶性肿瘤用药的决策体系，为指导恶性肿瘤的个体化精准用药提供理论基础和科学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4.重大疾病的中医证候生物学基础及中医药干预研究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具有中医治疗优势的重大疾病，选择心脑血管疾病、消化道及头颈肿瘤、自身免疫性疾病等，从中医证候的特征出发，针对基本证候，联合转录组学、蛋白质组学和代谢组学等多组学分析，探寻与疾病不同证型密切相关的生物标志物，构建与分析疾病基本证候的生物分子网络，以及中医证候诊断和预测的生物标志物群；进一步探索中医经典名方的干预作用，阐明其效应机制和生物学基础，筛选具有成药前景的活性成分，为指导应用提供科学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5.药源性肾损伤的发病机制及靶向干预的应用基础研究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针对医疗系统的用药特征，构建药源性肾损伤的早期预警模型；联合转录组学、蛋白质组学和代谢组学等多组学分析已发现的靶基因在药源性肾损伤中的作用，阐明靶基因影响药物安全性的分子机制及调控规律；利用新型药物递送系统进行靶向干预研究，为临床常见药源性肾损伤的早期预防、精准诊断和精准防治提供理论基础和科学依据。</w:t>
      </w:r>
    </w:p>
    <w:p>
      <w:pPr>
        <w:spacing w:line="360" w:lineRule="auto"/>
        <w:ind w:firstLine="643" w:firstLineChars="200"/>
        <w:jc w:val="left"/>
        <w:outlineLvl w:val="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6.认知障碍疾病遗传学发病机制及早期预警研究</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基于家族性和散发性认知障碍疾病的全基因组学研究，定位克隆认知障碍疾病1-2个新的致病或易感基因，明确该基因在认知障碍发病机制中的作用，明确1-2个以阿尔茨海默病为疾病代表的关键蛋白干预靶点；以基因组学为基础，结合表观遗传组学、宏基因组学等，建立认知障碍疾病的发病风险、疾病转归相关的基因组学早期预警预测因子，建立特异性和敏感性较高的早期预警和早期诊断预测模型。</w:t>
      </w:r>
    </w:p>
    <w:p>
      <w:pPr>
        <w:spacing w:line="64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以上研究方向鼓励申请人与湖南省内具有一定研究实力和研究条件的高等院校或研究机构开展合作研究。</w:t>
      </w:r>
    </w:p>
    <w:p>
      <w:pPr>
        <w:rPr>
          <w:rFonts w:ascii="Times New Roman" w:hAnsi="Times New Roman" w:cs="Times New Roma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9988809"/>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92"/>
    <w:rsid w:val="0008796E"/>
    <w:rsid w:val="001E4D94"/>
    <w:rsid w:val="002110C8"/>
    <w:rsid w:val="00245A19"/>
    <w:rsid w:val="002639B2"/>
    <w:rsid w:val="002E068E"/>
    <w:rsid w:val="00320600"/>
    <w:rsid w:val="00367CCA"/>
    <w:rsid w:val="004243C9"/>
    <w:rsid w:val="00462CD3"/>
    <w:rsid w:val="004E151E"/>
    <w:rsid w:val="0057614A"/>
    <w:rsid w:val="005B2D0A"/>
    <w:rsid w:val="00771932"/>
    <w:rsid w:val="008E3261"/>
    <w:rsid w:val="009C7A3C"/>
    <w:rsid w:val="00A1747F"/>
    <w:rsid w:val="00A2429E"/>
    <w:rsid w:val="00AB4181"/>
    <w:rsid w:val="00B209A8"/>
    <w:rsid w:val="00B52BA7"/>
    <w:rsid w:val="00BB6676"/>
    <w:rsid w:val="00C07596"/>
    <w:rsid w:val="00C23794"/>
    <w:rsid w:val="00DD485F"/>
    <w:rsid w:val="00E77692"/>
    <w:rsid w:val="00EC1ED3"/>
    <w:rsid w:val="00F26722"/>
    <w:rsid w:val="00F36CAF"/>
    <w:rsid w:val="00FB4DE8"/>
    <w:rsid w:val="371B371D"/>
    <w:rsid w:val="722A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1079</Words>
  <Characters>6152</Characters>
  <Lines>51</Lines>
  <Paragraphs>14</Paragraphs>
  <TotalTime>0</TotalTime>
  <ScaleCrop>false</ScaleCrop>
  <LinksUpToDate>false</LinksUpToDate>
  <CharactersWithSpaces>7217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2021-04-14T00:34:00Z</dcterms:created>
  <dc:creator>PC</dc:creator>
  <cp:lastModifiedBy>周玉林</cp:lastModifiedBy>
  <cp:lastPrinted>2021-04-14T03:37:00Z</cp:lastPrinted>
  <dcterms:modified xsi:type="dcterms:W3CDTF">2021-04-20T02:44:04Z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