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E76" w:rsidRDefault="00337F2A">
      <w:pPr>
        <w:spacing w:line="60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湖南省自然科学基金重大项目</w:t>
      </w:r>
    </w:p>
    <w:p w:rsidR="001B1E76" w:rsidRDefault="00337F2A">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招标工作方案</w:t>
      </w:r>
    </w:p>
    <w:p w:rsidR="001B1E76" w:rsidRDefault="00337F2A">
      <w:pPr>
        <w:spacing w:line="600" w:lineRule="exact"/>
        <w:jc w:val="center"/>
        <w:rPr>
          <w:rFonts w:ascii="华文楷体" w:eastAsia="华文楷体" w:hAnsi="华文楷体" w:cs="方正小标宋简体"/>
          <w:sz w:val="32"/>
          <w:szCs w:val="32"/>
        </w:rPr>
      </w:pPr>
      <w:r>
        <w:rPr>
          <w:rFonts w:ascii="华文楷体" w:eastAsia="华文楷体" w:hAnsi="华文楷体" w:cs="方正小标宋简体" w:hint="eastAsia"/>
          <w:sz w:val="32"/>
          <w:szCs w:val="32"/>
        </w:rPr>
        <w:t>（征求意见稿）</w:t>
      </w:r>
    </w:p>
    <w:p w:rsidR="001B1E76" w:rsidRDefault="00337F2A">
      <w:pPr>
        <w:spacing w:line="600" w:lineRule="exact"/>
        <w:jc w:val="center"/>
        <w:rPr>
          <w:rFonts w:ascii="仿宋_GB2312" w:eastAsia="仿宋_GB2312" w:hAnsi="仿宋_GB2312" w:cs="仿宋_GB2312"/>
          <w:sz w:val="32"/>
          <w:szCs w:val="32"/>
        </w:rPr>
      </w:pPr>
      <w:hyperlink r:id="rId8" w:tgtFrame="http://kjt.hunan.gov.cn/kjt/xxgk/jgzn/nsjg/_blank" w:history="1">
        <w:r>
          <w:rPr>
            <w:rFonts w:ascii="仿宋_GB2312" w:eastAsia="仿宋_GB2312" w:hAnsi="仿宋_GB2312" w:cs="仿宋_GB2312" w:hint="eastAsia"/>
            <w:sz w:val="32"/>
            <w:szCs w:val="32"/>
          </w:rPr>
          <w:t>基金办</w:t>
        </w:r>
      </w:hyperlink>
    </w:p>
    <w:p w:rsidR="001B1E76" w:rsidRDefault="00337F2A">
      <w:pPr>
        <w:spacing w:line="6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w:t>
      </w:r>
    </w:p>
    <w:p w:rsidR="001B1E76" w:rsidRDefault="001B1E76">
      <w:pPr>
        <w:spacing w:line="600" w:lineRule="exact"/>
        <w:ind w:firstLineChars="200" w:firstLine="640"/>
        <w:rPr>
          <w:rFonts w:ascii="仿宋" w:eastAsia="仿宋" w:hAnsi="仿宋" w:cs="仿宋"/>
          <w:sz w:val="32"/>
          <w:szCs w:val="32"/>
        </w:rPr>
      </w:pPr>
    </w:p>
    <w:p w:rsidR="001B1E76" w:rsidRDefault="00337F2A">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根据省领导和厅党组关于</w:t>
      </w:r>
      <w:proofErr w:type="gramStart"/>
      <w:r>
        <w:rPr>
          <w:rFonts w:ascii="仿宋_GB2312" w:eastAsia="仿宋_GB2312" w:hAnsi="仿宋_GB2312" w:cs="仿宋_GB2312" w:hint="eastAsia"/>
          <w:sz w:val="32"/>
          <w:szCs w:val="32"/>
        </w:rPr>
        <w:t>实施省</w:t>
      </w:r>
      <w:proofErr w:type="gramEnd"/>
      <w:r>
        <w:rPr>
          <w:rFonts w:ascii="仿宋_GB2312" w:eastAsia="仿宋_GB2312" w:hAnsi="仿宋_GB2312" w:cs="仿宋_GB2312" w:hint="eastAsia"/>
          <w:sz w:val="32"/>
          <w:szCs w:val="32"/>
        </w:rPr>
        <w:t>自然科学基金重大项目招标的指示，制定本工作方案。</w:t>
      </w:r>
    </w:p>
    <w:p w:rsidR="001B1E76" w:rsidRDefault="00337F2A">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一、总体要求</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（一）指导思想</w:t>
      </w:r>
      <w:r>
        <w:rPr>
          <w:rFonts w:ascii="仿宋_GB2312" w:eastAsia="仿宋_GB2312" w:hAnsi="仿宋_GB2312" w:cs="仿宋_GB2312" w:hint="eastAsia"/>
          <w:b/>
          <w:sz w:val="32"/>
          <w:szCs w:val="32"/>
        </w:rPr>
        <w:br/>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深入贯彻习近平总书记关于科技创新的系列重要讲话精神，实施省委、省政府“创新引领、开放崛起”战略，遵循科学发展和创新活动的规律和特点，把强化基础研究和应用基础研究、提升原始创新能力作为根本任务，聚焦产业创新链的前端，提出原创科学思想、探索重大科学前沿、解决国家战略需求和产业共性技术基础等重大科学问题，优势领域的原始创新能力和核心竞争力显著提升，支撑重点产业技术创新由跟跑、并跑向领跑转变，培育一流的基础研究人才队伍，为全面提升自主创新能力、建设湖南创新型省份提供原始创新能力、人才储备和发展动力。</w:t>
      </w:r>
    </w:p>
    <w:p w:rsidR="001B1E76" w:rsidRDefault="00337F2A">
      <w:pPr>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（二）基本原则</w:t>
      </w:r>
    </w:p>
    <w:p w:rsidR="001B1E76" w:rsidRDefault="00337F2A">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坚持需求导向。针对事关国计民生、产业核心竞争力的重大战略任务，加强基础研究和应用基础研究，解决重大科</w:t>
      </w:r>
      <w:r>
        <w:rPr>
          <w:rFonts w:ascii="仿宋_GB2312" w:eastAsia="仿宋_GB2312" w:hAnsi="仿宋_GB2312" w:cs="仿宋_GB2312" w:hint="eastAsia"/>
          <w:sz w:val="32"/>
          <w:szCs w:val="32"/>
        </w:rPr>
        <w:lastRenderedPageBreak/>
        <w:t>学问题，为创新驱动发展提供源头供给。</w:t>
      </w:r>
      <w:r>
        <w:rPr>
          <w:rFonts w:ascii="仿宋_GB2312" w:eastAsia="仿宋_GB2312" w:hAnsi="仿宋_GB2312" w:cs="仿宋_GB2312" w:hint="eastAsia"/>
          <w:sz w:val="32"/>
          <w:szCs w:val="32"/>
        </w:rPr>
        <w:br/>
        <w:t xml:space="preserve">    </w:t>
      </w:r>
      <w:r>
        <w:rPr>
          <w:rFonts w:ascii="仿宋_GB2312" w:eastAsia="仿宋_GB2312" w:hAnsi="仿宋_GB2312" w:cs="仿宋_GB2312" w:hint="eastAsia"/>
          <w:sz w:val="32"/>
          <w:szCs w:val="32"/>
        </w:rPr>
        <w:t>坚持赶超引领。把握世界科技前沿发展态势，鼓励科学家提出更多原创理论，做出更多原创发现，解决产业共性技术基础，在重要科技领域实现跨越发展。</w:t>
      </w:r>
      <w:r>
        <w:rPr>
          <w:rFonts w:ascii="仿宋_GB2312" w:eastAsia="仿宋_GB2312" w:hAnsi="仿宋_GB2312" w:cs="仿宋_GB2312" w:hint="eastAsia"/>
          <w:sz w:val="32"/>
          <w:szCs w:val="32"/>
        </w:rPr>
        <w:br/>
        <w:t xml:space="preserve">    </w:t>
      </w:r>
      <w:r>
        <w:rPr>
          <w:rFonts w:ascii="仿宋_GB2312" w:eastAsia="仿宋_GB2312" w:hAnsi="仿宋_GB2312" w:cs="仿宋_GB2312" w:hint="eastAsia"/>
          <w:sz w:val="32"/>
          <w:szCs w:val="32"/>
        </w:rPr>
        <w:t>坚持开放创新。充分利用全球科技资源，在更高水平上开展基础研究创新合作；尊重科学研究的规律，赋予学术领军人才更多的学术自主权。</w:t>
      </w:r>
      <w:r>
        <w:rPr>
          <w:rFonts w:ascii="仿宋_GB2312" w:eastAsia="仿宋_GB2312" w:hAnsi="仿宋_GB2312" w:cs="仿宋_GB2312" w:hint="eastAsia"/>
          <w:sz w:val="32"/>
          <w:szCs w:val="32"/>
        </w:rPr>
        <w:br/>
        <w:t xml:space="preserve">    </w:t>
      </w:r>
      <w:r>
        <w:rPr>
          <w:rFonts w:ascii="仿宋_GB2312" w:eastAsia="仿宋_GB2312" w:hAnsi="仿宋_GB2312" w:cs="仿宋_GB2312" w:hint="eastAsia"/>
          <w:sz w:val="32"/>
          <w:szCs w:val="32"/>
        </w:rPr>
        <w:t>坚持人才支撑。把重大科学问题研究与人才培养结合起来，通过项目实施，努力培养造就一大批</w:t>
      </w:r>
      <w:r>
        <w:rPr>
          <w:rFonts w:ascii="仿宋_GB2312" w:eastAsia="仿宋_GB2312" w:hAnsi="仿宋_GB2312" w:cs="仿宋_GB2312" w:hint="eastAsia"/>
          <w:sz w:val="32"/>
          <w:szCs w:val="32"/>
        </w:rPr>
        <w:t>科技领军人才和优秀青年科技人才，建设一批优秀创新团队。</w:t>
      </w:r>
    </w:p>
    <w:p w:rsidR="001B1E76" w:rsidRDefault="00337F2A">
      <w:pPr>
        <w:spacing w:line="600" w:lineRule="exact"/>
        <w:ind w:firstLineChars="200" w:firstLine="640"/>
        <w:rPr>
          <w:rFonts w:ascii="仿宋_GB2312" w:eastAsia="仿宋_GB2312" w:hAnsi="仿宋_GB2312" w:cs="仿宋_GB2312"/>
          <w:color w:val="FF0000"/>
          <w:sz w:val="32"/>
          <w:szCs w:val="32"/>
        </w:rPr>
      </w:pPr>
      <w:r>
        <w:rPr>
          <w:rFonts w:ascii="黑体" w:eastAsia="黑体" w:hAnsi="黑体" w:cs="黑体" w:hint="eastAsia"/>
          <w:sz w:val="32"/>
          <w:szCs w:val="32"/>
        </w:rPr>
        <w:t>二、重点领域</w:t>
      </w:r>
      <w:r>
        <w:rPr>
          <w:rFonts w:ascii="黑体" w:eastAsia="黑体" w:hAnsi="黑体" w:cs="黑体" w:hint="eastAsia"/>
          <w:sz w:val="32"/>
          <w:szCs w:val="32"/>
        </w:rPr>
        <w:br/>
      </w:r>
      <w:r>
        <w:rPr>
          <w:rFonts w:ascii="仿宋" w:eastAsia="仿宋" w:hAnsi="仿宋" w:cs="仿宋" w:hint="eastAsia"/>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color w:val="FF0000"/>
          <w:sz w:val="32"/>
          <w:szCs w:val="32"/>
        </w:rPr>
        <w:t>1</w:t>
      </w:r>
      <w:r>
        <w:rPr>
          <w:rFonts w:ascii="仿宋_GB2312" w:eastAsia="仿宋_GB2312" w:hAnsi="仿宋_GB2312" w:cs="仿宋_GB2312" w:hint="eastAsia"/>
          <w:color w:val="FF0000"/>
          <w:sz w:val="32"/>
          <w:szCs w:val="32"/>
        </w:rPr>
        <w:t>、湖南特异茶树资源重要性状基因挖掘与利用。</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湖南省茶树资源丰富</w:t>
      </w:r>
      <w:r>
        <w:rPr>
          <w:rFonts w:ascii="仿宋_GB2312" w:eastAsia="仿宋_GB2312" w:hAnsi="仿宋_GB2312" w:cs="仿宋_GB2312" w:hint="eastAsia"/>
          <w:sz w:val="32"/>
          <w:szCs w:val="32"/>
        </w:rPr>
        <w:t>，已挖掘茶树资源</w:t>
      </w:r>
      <w:r>
        <w:rPr>
          <w:rFonts w:ascii="仿宋_GB2312" w:eastAsia="仿宋_GB2312" w:hAnsi="仿宋_GB2312" w:cs="仿宋_GB2312" w:hint="eastAsia"/>
          <w:sz w:val="32"/>
          <w:szCs w:val="32"/>
        </w:rPr>
        <w:t>400</w:t>
      </w:r>
      <w:r>
        <w:rPr>
          <w:rFonts w:ascii="仿宋_GB2312" w:eastAsia="仿宋_GB2312" w:hAnsi="仿宋_GB2312" w:cs="仿宋_GB2312" w:hint="eastAsia"/>
          <w:sz w:val="32"/>
          <w:szCs w:val="32"/>
        </w:rPr>
        <w:t>多份，主要包括了城步</w:t>
      </w:r>
      <w:proofErr w:type="gramStart"/>
      <w:r>
        <w:rPr>
          <w:rFonts w:ascii="仿宋_GB2312" w:eastAsia="仿宋_GB2312" w:hAnsi="仿宋_GB2312" w:cs="仿宋_GB2312" w:hint="eastAsia"/>
          <w:sz w:val="32"/>
          <w:szCs w:val="32"/>
        </w:rPr>
        <w:t>峒</w:t>
      </w:r>
      <w:proofErr w:type="gramEnd"/>
      <w:r>
        <w:rPr>
          <w:rFonts w:ascii="仿宋_GB2312" w:eastAsia="仿宋_GB2312" w:hAnsi="仿宋_GB2312" w:cs="仿宋_GB2312" w:hint="eastAsia"/>
          <w:sz w:val="32"/>
          <w:szCs w:val="32"/>
        </w:rPr>
        <w:t>茶、江华苦茶、汝城白毛茶、云台山种、保靖黄金茶等地方群体和一些畸变型</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如涟源奇曲、石门空心茶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。我国茶树育种目标开始向产品多样化、茶功能成分优化和多抗的育种目标转移。湖南</w:t>
      </w:r>
      <w:r>
        <w:rPr>
          <w:rFonts w:ascii="仿宋_GB2312" w:eastAsia="仿宋_GB2312" w:hAnsi="仿宋_GB2312" w:cs="仿宋_GB2312" w:hint="eastAsia"/>
          <w:sz w:val="32"/>
          <w:szCs w:val="32"/>
        </w:rPr>
        <w:t>茶树资源</w:t>
      </w:r>
      <w:r>
        <w:rPr>
          <w:rFonts w:ascii="仿宋_GB2312" w:eastAsia="仿宋_GB2312" w:hAnsi="仿宋_GB2312" w:cs="仿宋_GB2312" w:hint="eastAsia"/>
          <w:sz w:val="32"/>
          <w:szCs w:val="32"/>
        </w:rPr>
        <w:t>的茶</w:t>
      </w:r>
      <w:r>
        <w:rPr>
          <w:rFonts w:ascii="仿宋_GB2312" w:eastAsia="仿宋_GB2312" w:hAnsi="仿宋_GB2312" w:cs="仿宋_GB2312" w:hint="eastAsia"/>
          <w:sz w:val="32"/>
          <w:szCs w:val="32"/>
        </w:rPr>
        <w:t>叶</w:t>
      </w:r>
      <w:r>
        <w:rPr>
          <w:rFonts w:ascii="仿宋_GB2312" w:eastAsia="仿宋_GB2312" w:hAnsi="仿宋_GB2312" w:cs="仿宋_GB2312" w:hint="eastAsia"/>
          <w:sz w:val="32"/>
          <w:szCs w:val="32"/>
        </w:rPr>
        <w:t>不仅茶多酚含量适中，而且氨基酸含量高，</w:t>
      </w:r>
      <w:proofErr w:type="gramStart"/>
      <w:r>
        <w:rPr>
          <w:rFonts w:ascii="仿宋_GB2312" w:eastAsia="仿宋_GB2312" w:hAnsi="仿宋_GB2312" w:cs="仿宋_GB2312" w:hint="eastAsia"/>
          <w:sz w:val="32"/>
          <w:szCs w:val="32"/>
        </w:rPr>
        <w:t>酚氨比</w:t>
      </w:r>
      <w:proofErr w:type="gramEnd"/>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左右，</w:t>
      </w:r>
      <w:proofErr w:type="gramStart"/>
      <w:r>
        <w:rPr>
          <w:rFonts w:ascii="仿宋_GB2312" w:eastAsia="仿宋_GB2312" w:hAnsi="仿宋_GB2312" w:cs="仿宋_GB2312" w:hint="eastAsia"/>
          <w:sz w:val="32"/>
          <w:szCs w:val="32"/>
        </w:rPr>
        <w:t>非常适制名优</w:t>
      </w:r>
      <w:proofErr w:type="gramEnd"/>
      <w:r>
        <w:rPr>
          <w:rFonts w:ascii="仿宋_GB2312" w:eastAsia="仿宋_GB2312" w:hAnsi="仿宋_GB2312" w:cs="仿宋_GB2312" w:hint="eastAsia"/>
          <w:sz w:val="32"/>
          <w:szCs w:val="32"/>
        </w:rPr>
        <w:t>绿茶。加强对</w:t>
      </w:r>
      <w:r>
        <w:rPr>
          <w:rFonts w:ascii="仿宋_GB2312" w:eastAsia="仿宋_GB2312" w:hAnsi="仿宋_GB2312" w:cs="仿宋_GB2312" w:hint="eastAsia"/>
          <w:sz w:val="32"/>
          <w:szCs w:val="32"/>
        </w:rPr>
        <w:t>湖南特异</w:t>
      </w:r>
      <w:r>
        <w:rPr>
          <w:rFonts w:ascii="仿宋_GB2312" w:eastAsia="仿宋_GB2312" w:hAnsi="仿宋_GB2312" w:cs="仿宋_GB2312" w:hint="eastAsia"/>
          <w:sz w:val="32"/>
          <w:szCs w:val="32"/>
        </w:rPr>
        <w:t>茶树资源的研究和利用，对满足当前茶树育种目标</w:t>
      </w:r>
      <w:r>
        <w:rPr>
          <w:rFonts w:ascii="仿宋_GB2312" w:eastAsia="仿宋_GB2312" w:hAnsi="仿宋_GB2312" w:cs="仿宋_GB2312" w:hint="eastAsia"/>
          <w:sz w:val="32"/>
          <w:szCs w:val="32"/>
        </w:rPr>
        <w:t>需求潜力巨大，已成为湖南名优绿茶资源利用的主要方向。</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以湖南省丰富的特异茶树资源为研究对象，开展优质、高产、高抗、机采适应性强等特异种质资源</w:t>
      </w:r>
      <w:r>
        <w:rPr>
          <w:rFonts w:ascii="仿宋_GB2312" w:eastAsia="仿宋_GB2312" w:hAnsi="仿宋_GB2312" w:cs="仿宋_GB2312" w:hint="eastAsia"/>
          <w:sz w:val="32"/>
          <w:szCs w:val="32"/>
        </w:rPr>
        <w:lastRenderedPageBreak/>
        <w:t>的挖掘、评价与创新利用，解析重要农艺性状及经济性状形成的分子调控机制，发掘一批有重要应用价值的功能基因，开发一批应用于茶树新品种选育的分子标记，突破茶树遗传转化与再生体系、茶叶鲜爽滋味与茶毫香气形成的分子生物学基础及其调控机制等科学问题。</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1B1E76">
      <w:pPr>
        <w:spacing w:line="600" w:lineRule="exact"/>
        <w:ind w:firstLineChars="200" w:firstLine="640"/>
        <w:rPr>
          <w:rFonts w:ascii="仿宋_GB2312" w:eastAsia="仿宋_GB2312" w:hAnsi="仿宋_GB2312" w:cs="仿宋_GB2312"/>
          <w:sz w:val="32"/>
          <w:szCs w:val="32"/>
        </w:rPr>
      </w:pPr>
    </w:p>
    <w:p w:rsidR="001B1E76" w:rsidRDefault="00337F2A">
      <w:pPr>
        <w:spacing w:line="60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2</w:t>
      </w:r>
      <w:r>
        <w:rPr>
          <w:rFonts w:ascii="仿宋_GB2312" w:eastAsia="仿宋_GB2312" w:hAnsi="仿宋_GB2312" w:cs="仿宋_GB2312" w:hint="eastAsia"/>
          <w:color w:val="FF0000"/>
          <w:sz w:val="32"/>
          <w:szCs w:val="32"/>
        </w:rPr>
        <w:t>、地方畜禽优势性状形成的遗传和营养基础及调控。</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：由于人类赖以生存的、供以种质创新的生物资源凸显贫乏，世界粮农组织更加强烈地呼吁保护生物多样性，鼓励和支持企业从事良种地方畜禽遗传资源保护和利用，以促使地方畜禽资源能可持续保存和发展。</w:t>
      </w:r>
      <w:r>
        <w:rPr>
          <w:rFonts w:ascii="仿宋_GB2312" w:eastAsia="仿宋_GB2312" w:hAnsi="仿宋_GB2312" w:cs="仿宋_GB2312" w:hint="eastAsia"/>
          <w:sz w:val="32"/>
          <w:szCs w:val="32"/>
        </w:rPr>
        <w:t>湖南</w:t>
      </w:r>
      <w:r>
        <w:rPr>
          <w:rFonts w:ascii="仿宋_GB2312" w:eastAsia="仿宋_GB2312" w:hAnsi="仿宋_GB2312" w:cs="仿宋_GB2312" w:hint="eastAsia"/>
          <w:sz w:val="32"/>
          <w:szCs w:val="32"/>
        </w:rPr>
        <w:t>地</w:t>
      </w:r>
      <w:r>
        <w:rPr>
          <w:rFonts w:ascii="仿宋_GB2312" w:eastAsia="仿宋_GB2312" w:hAnsi="仿宋_GB2312" w:cs="仿宋_GB2312" w:hint="eastAsia"/>
          <w:sz w:val="32"/>
          <w:szCs w:val="32"/>
        </w:rPr>
        <w:t>方畜禽</w:t>
      </w:r>
      <w:r>
        <w:rPr>
          <w:rFonts w:ascii="仿宋_GB2312" w:eastAsia="仿宋_GB2312" w:hAnsi="仿宋_GB2312" w:cs="仿宋_GB2312" w:hint="eastAsia"/>
          <w:sz w:val="32"/>
          <w:szCs w:val="32"/>
        </w:rPr>
        <w:t>资源丰富，拥有</w:t>
      </w:r>
      <w:r>
        <w:rPr>
          <w:rFonts w:ascii="仿宋_GB2312" w:eastAsia="仿宋_GB2312" w:hAnsi="仿宋_GB2312" w:cs="仿宋_GB2312" w:hint="eastAsia"/>
          <w:sz w:val="32"/>
          <w:szCs w:val="32"/>
        </w:rPr>
        <w:t>宁乡花猪肉、临武鸭、湘西黄牛等这些受国家保护的珍贵畜禽遗传资源。</w:t>
      </w:r>
      <w:r>
        <w:rPr>
          <w:rFonts w:ascii="仿宋_GB2312" w:eastAsia="仿宋_GB2312" w:hAnsi="仿宋_GB2312" w:cs="仿宋_GB2312" w:hint="eastAsia"/>
          <w:sz w:val="32"/>
          <w:szCs w:val="32"/>
        </w:rPr>
        <w:t>加强</w:t>
      </w:r>
      <w:r>
        <w:rPr>
          <w:rFonts w:ascii="仿宋_GB2312" w:eastAsia="仿宋_GB2312" w:hAnsi="仿宋_GB2312" w:cs="仿宋_GB2312" w:hint="eastAsia"/>
          <w:sz w:val="32"/>
          <w:szCs w:val="32"/>
        </w:rPr>
        <w:t>地方</w:t>
      </w:r>
      <w:proofErr w:type="gramStart"/>
      <w:r>
        <w:rPr>
          <w:rFonts w:ascii="仿宋_GB2312" w:eastAsia="仿宋_GB2312" w:hAnsi="仿宋_GB2312" w:cs="仿宋_GB2312" w:hint="eastAsia"/>
          <w:sz w:val="32"/>
          <w:szCs w:val="32"/>
        </w:rPr>
        <w:t>畜禽</w:t>
      </w:r>
      <w:r>
        <w:rPr>
          <w:rFonts w:ascii="仿宋_GB2312" w:eastAsia="仿宋_GB2312" w:hAnsi="仿宋_GB2312" w:cs="仿宋_GB2312" w:hint="eastAsia"/>
          <w:sz w:val="32"/>
          <w:szCs w:val="32"/>
        </w:rPr>
        <w:t>畜禽</w:t>
      </w:r>
      <w:proofErr w:type="gramEnd"/>
      <w:r>
        <w:rPr>
          <w:rFonts w:ascii="仿宋_GB2312" w:eastAsia="仿宋_GB2312" w:hAnsi="仿宋_GB2312" w:cs="仿宋_GB2312" w:hint="eastAsia"/>
          <w:sz w:val="32"/>
          <w:szCs w:val="32"/>
        </w:rPr>
        <w:t>优势性状</w:t>
      </w:r>
      <w:r>
        <w:rPr>
          <w:rFonts w:ascii="仿宋_GB2312" w:eastAsia="仿宋_GB2312" w:hAnsi="仿宋_GB2312" w:cs="仿宋_GB2312" w:hint="eastAsia"/>
          <w:sz w:val="32"/>
          <w:szCs w:val="32"/>
        </w:rPr>
        <w:t>研究，对于</w:t>
      </w:r>
      <w:r>
        <w:rPr>
          <w:rFonts w:ascii="仿宋_GB2312" w:eastAsia="仿宋_GB2312" w:hAnsi="仿宋_GB2312" w:cs="仿宋_GB2312" w:hint="eastAsia"/>
          <w:sz w:val="32"/>
          <w:szCs w:val="32"/>
        </w:rPr>
        <w:t>提高</w:t>
      </w:r>
      <w:r>
        <w:rPr>
          <w:rFonts w:ascii="仿宋_GB2312" w:eastAsia="仿宋_GB2312" w:hAnsi="仿宋_GB2312" w:cs="仿宋_GB2312" w:hint="eastAsia"/>
          <w:sz w:val="32"/>
          <w:szCs w:val="32"/>
        </w:rPr>
        <w:t>我省</w:t>
      </w:r>
      <w:r>
        <w:rPr>
          <w:rFonts w:ascii="仿宋_GB2312" w:eastAsia="仿宋_GB2312" w:hAnsi="仿宋_GB2312" w:cs="仿宋_GB2312" w:hint="eastAsia"/>
          <w:sz w:val="32"/>
          <w:szCs w:val="32"/>
        </w:rPr>
        <w:t>畜禽</w:t>
      </w:r>
      <w:r>
        <w:rPr>
          <w:rFonts w:ascii="仿宋_GB2312" w:eastAsia="仿宋_GB2312" w:hAnsi="仿宋_GB2312" w:cs="仿宋_GB2312" w:hint="eastAsia"/>
          <w:sz w:val="32"/>
          <w:szCs w:val="32"/>
        </w:rPr>
        <w:t>产品</w:t>
      </w:r>
      <w:r>
        <w:rPr>
          <w:rFonts w:ascii="仿宋_GB2312" w:eastAsia="仿宋_GB2312" w:hAnsi="仿宋_GB2312" w:cs="仿宋_GB2312" w:hint="eastAsia"/>
          <w:sz w:val="32"/>
          <w:szCs w:val="32"/>
        </w:rPr>
        <w:t>市场终端的话语权，促进特色产业发展</w:t>
      </w:r>
      <w:r>
        <w:rPr>
          <w:rFonts w:ascii="仿宋_GB2312" w:eastAsia="仿宋_GB2312" w:hAnsi="仿宋_GB2312" w:cs="仿宋_GB2312" w:hint="eastAsia"/>
          <w:sz w:val="32"/>
          <w:szCs w:val="32"/>
        </w:rPr>
        <w:t>等方面具有重</w:t>
      </w:r>
      <w:r>
        <w:rPr>
          <w:rFonts w:ascii="仿宋_GB2312" w:eastAsia="仿宋_GB2312" w:hAnsi="仿宋_GB2312" w:cs="仿宋_GB2312" w:hint="eastAsia"/>
          <w:sz w:val="32"/>
          <w:szCs w:val="32"/>
        </w:rPr>
        <w:t>要的意义。</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针对地方品种具有繁殖力高、抗病力强、肉质好、耐粗饲等种质特性，进行优异基因挖掘，解析调控网络，揭示其优良性状的遗传及</w:t>
      </w:r>
      <w:r>
        <w:rPr>
          <w:rFonts w:ascii="仿宋_GB2312" w:eastAsia="仿宋_GB2312" w:hAnsi="仿宋_GB2312" w:cs="仿宋_GB2312" w:hint="eastAsia"/>
          <w:sz w:val="32"/>
          <w:szCs w:val="32"/>
        </w:rPr>
        <w:t>调控规律。以营养素</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肠道菌群</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代谢</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表现遗传</w:t>
      </w:r>
      <w:proofErr w:type="gramStart"/>
      <w:r>
        <w:rPr>
          <w:rFonts w:ascii="仿宋_GB2312" w:eastAsia="仿宋_GB2312" w:hAnsi="仿宋_GB2312" w:cs="仿宋_GB2312" w:hint="eastAsia"/>
          <w:sz w:val="32"/>
          <w:szCs w:val="32"/>
        </w:rPr>
        <w:t>互作为</w:t>
      </w:r>
      <w:proofErr w:type="gramEnd"/>
      <w:r>
        <w:rPr>
          <w:rFonts w:ascii="仿宋_GB2312" w:eastAsia="仿宋_GB2312" w:hAnsi="仿宋_GB2312" w:cs="仿宋_GB2312" w:hint="eastAsia"/>
          <w:sz w:val="32"/>
          <w:szCs w:val="32"/>
        </w:rPr>
        <w:t>研究思路，挖掘地方畜禽品种优良性状形成及主要物质合成规律，研究动物蛋白质代谢和糖脂代谢与畜禽产品品质形成的调控机制。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1B1E76">
      <w:pPr>
        <w:widowControl/>
        <w:spacing w:line="600" w:lineRule="exact"/>
        <w:ind w:firstLineChars="200" w:firstLine="640"/>
        <w:rPr>
          <w:rFonts w:ascii="仿宋_GB2312" w:eastAsia="仿宋_GB2312" w:hAnsi="仿宋_GB2312" w:cs="仿宋_GB2312"/>
          <w:color w:val="FF0000"/>
          <w:sz w:val="32"/>
          <w:szCs w:val="32"/>
        </w:rPr>
      </w:pPr>
    </w:p>
    <w:p w:rsidR="001B1E76" w:rsidRDefault="00337F2A">
      <w:pPr>
        <w:widowControl/>
        <w:spacing w:line="60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3</w:t>
      </w:r>
      <w:r>
        <w:rPr>
          <w:rFonts w:ascii="仿宋_GB2312" w:eastAsia="仿宋_GB2312" w:hAnsi="仿宋_GB2312" w:cs="仿宋_GB2312" w:hint="eastAsia"/>
          <w:color w:val="FF0000"/>
          <w:sz w:val="32"/>
          <w:szCs w:val="32"/>
        </w:rPr>
        <w:t>、</w:t>
      </w:r>
      <w:proofErr w:type="gramStart"/>
      <w:r>
        <w:rPr>
          <w:rFonts w:ascii="仿宋_GB2312" w:eastAsia="仿宋_GB2312" w:hAnsi="仿宋_GB2312" w:cs="仿宋_GB2312" w:hint="eastAsia"/>
          <w:color w:val="FF0000"/>
          <w:sz w:val="32"/>
          <w:szCs w:val="32"/>
        </w:rPr>
        <w:t>农田源氮磷</w:t>
      </w:r>
      <w:proofErr w:type="gramEnd"/>
      <w:r>
        <w:rPr>
          <w:rFonts w:ascii="仿宋_GB2312" w:eastAsia="仿宋_GB2312" w:hAnsi="仿宋_GB2312" w:cs="仿宋_GB2312" w:hint="eastAsia"/>
          <w:color w:val="FF0000"/>
          <w:sz w:val="32"/>
          <w:szCs w:val="32"/>
        </w:rPr>
        <w:t>排放机理及主控因子研究。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：随着工业和城市生活污水等点源得到有效控制，农业面源污染已成为水环境污染的重要来源。据全国第一次污染源调查数据，农业源排放的总氮、总磷占总排放量的</w:t>
      </w:r>
      <w:r>
        <w:rPr>
          <w:rFonts w:ascii="仿宋_GB2312" w:eastAsia="仿宋_GB2312" w:hAnsi="仿宋_GB2312" w:cs="仿宋_GB2312" w:hint="eastAsia"/>
          <w:sz w:val="32"/>
          <w:szCs w:val="32"/>
        </w:rPr>
        <w:t>57.2%</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67.4%</w:t>
      </w:r>
      <w:r>
        <w:rPr>
          <w:rFonts w:ascii="仿宋_GB2312" w:eastAsia="仿宋_GB2312" w:hAnsi="仿宋_GB2312" w:cs="仿宋_GB2312" w:hint="eastAsia"/>
          <w:sz w:val="32"/>
          <w:szCs w:val="32"/>
        </w:rPr>
        <w:t>，控制</w:t>
      </w:r>
      <w:proofErr w:type="gramStart"/>
      <w:r>
        <w:rPr>
          <w:rFonts w:ascii="仿宋_GB2312" w:eastAsia="仿宋_GB2312" w:hAnsi="仿宋_GB2312" w:cs="仿宋_GB2312" w:hint="eastAsia"/>
          <w:sz w:val="32"/>
          <w:szCs w:val="32"/>
        </w:rPr>
        <w:t>农业源氮磷</w:t>
      </w:r>
      <w:proofErr w:type="gramEnd"/>
      <w:r>
        <w:rPr>
          <w:rFonts w:ascii="仿宋_GB2312" w:eastAsia="仿宋_GB2312" w:hAnsi="仿宋_GB2312" w:cs="仿宋_GB2312" w:hint="eastAsia"/>
          <w:sz w:val="32"/>
          <w:szCs w:val="32"/>
        </w:rPr>
        <w:t>排放是实现水环境质量根本改善的核心。然而，在</w:t>
      </w:r>
      <w:proofErr w:type="gramStart"/>
      <w:r>
        <w:rPr>
          <w:rFonts w:ascii="仿宋_GB2312" w:eastAsia="仿宋_GB2312" w:hAnsi="仿宋_GB2312" w:cs="仿宋_GB2312" w:hint="eastAsia"/>
          <w:sz w:val="32"/>
          <w:szCs w:val="32"/>
        </w:rPr>
        <w:t>农业源氮磷</w:t>
      </w:r>
      <w:proofErr w:type="gramEnd"/>
      <w:r>
        <w:rPr>
          <w:rFonts w:ascii="仿宋_GB2312" w:eastAsia="仿宋_GB2312" w:hAnsi="仿宋_GB2312" w:cs="仿宋_GB2312" w:hint="eastAsia"/>
          <w:sz w:val="32"/>
          <w:szCs w:val="32"/>
        </w:rPr>
        <w:t>排放中，来自农田的氮磷排放又占很大比例。因此，</w:t>
      </w:r>
      <w:r>
        <w:rPr>
          <w:rFonts w:ascii="仿宋_GB2312" w:eastAsia="仿宋_GB2312" w:hAnsi="仿宋_GB2312" w:cs="仿宋_GB2312" w:hint="eastAsia"/>
          <w:sz w:val="32"/>
          <w:szCs w:val="32"/>
        </w:rPr>
        <w:t>要实现农业面源污染的有效控制，必须首先控制农田面源污染，</w:t>
      </w:r>
      <w:r>
        <w:rPr>
          <w:rFonts w:ascii="仿宋_GB2312" w:eastAsia="仿宋_GB2312" w:hAnsi="仿宋_GB2312" w:cs="仿宋_GB2312" w:hint="eastAsia"/>
          <w:sz w:val="32"/>
          <w:szCs w:val="32"/>
        </w:rPr>
        <w:t>开展</w:t>
      </w:r>
      <w:proofErr w:type="gramStart"/>
      <w:r>
        <w:rPr>
          <w:rFonts w:ascii="仿宋_GB2312" w:eastAsia="仿宋_GB2312" w:hAnsi="仿宋_GB2312" w:cs="仿宋_GB2312" w:hint="eastAsia"/>
          <w:sz w:val="32"/>
          <w:szCs w:val="32"/>
        </w:rPr>
        <w:t>农田源氮磷</w:t>
      </w:r>
      <w:proofErr w:type="gramEnd"/>
      <w:r>
        <w:rPr>
          <w:rFonts w:ascii="仿宋_GB2312" w:eastAsia="仿宋_GB2312" w:hAnsi="仿宋_GB2312" w:cs="仿宋_GB2312" w:hint="eastAsia"/>
          <w:sz w:val="32"/>
          <w:szCs w:val="32"/>
        </w:rPr>
        <w:t>排放机理及主控因子研究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w:t>
      </w:r>
      <w:r>
        <w:rPr>
          <w:rFonts w:ascii="仿宋_GB2312" w:eastAsia="仿宋_GB2312" w:hAnsi="仿宋_GB2312" w:cs="仿宋_GB2312" w:hint="eastAsia"/>
          <w:sz w:val="32"/>
          <w:szCs w:val="32"/>
        </w:rPr>
        <w:t>理清</w:t>
      </w:r>
      <w:r>
        <w:rPr>
          <w:rFonts w:ascii="仿宋_GB2312" w:eastAsia="仿宋_GB2312" w:hAnsi="仿宋_GB2312" w:cs="仿宋_GB2312" w:hint="eastAsia"/>
          <w:sz w:val="32"/>
          <w:szCs w:val="32"/>
        </w:rPr>
        <w:t>我省水稻主产区农业</w:t>
      </w:r>
      <w:proofErr w:type="gramStart"/>
      <w:r>
        <w:rPr>
          <w:rFonts w:ascii="仿宋_GB2312" w:eastAsia="仿宋_GB2312" w:hAnsi="仿宋_GB2312" w:cs="仿宋_GB2312" w:hint="eastAsia"/>
          <w:sz w:val="32"/>
          <w:szCs w:val="32"/>
        </w:rPr>
        <w:t>面源氮磷面</w:t>
      </w:r>
      <w:proofErr w:type="gramEnd"/>
      <w:r>
        <w:rPr>
          <w:rFonts w:ascii="仿宋_GB2312" w:eastAsia="仿宋_GB2312" w:hAnsi="仿宋_GB2312" w:cs="仿宋_GB2312" w:hint="eastAsia"/>
          <w:sz w:val="32"/>
          <w:szCs w:val="32"/>
        </w:rPr>
        <w:t>源污染源头的产生机制及控制因子</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加快</w:t>
      </w:r>
      <w:r>
        <w:rPr>
          <w:rFonts w:ascii="仿宋_GB2312" w:eastAsia="仿宋_GB2312" w:hAnsi="仿宋_GB2312" w:cs="仿宋_GB2312" w:hint="eastAsia"/>
          <w:sz w:val="32"/>
          <w:szCs w:val="32"/>
        </w:rPr>
        <w:t>农业面源污染</w:t>
      </w:r>
      <w:r>
        <w:rPr>
          <w:rFonts w:ascii="仿宋_GB2312" w:eastAsia="仿宋_GB2312" w:hAnsi="仿宋_GB2312" w:cs="仿宋_GB2312" w:hint="eastAsia"/>
          <w:sz w:val="32"/>
          <w:szCs w:val="32"/>
        </w:rPr>
        <w:t>治理具有重要的现实意义。</w:t>
      </w:r>
    </w:p>
    <w:p w:rsidR="001B1E76" w:rsidRDefault="00337F2A">
      <w:pPr>
        <w:widowControl/>
        <w:spacing w:line="600" w:lineRule="exact"/>
        <w:ind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针采用</w:t>
      </w:r>
      <w:proofErr w:type="gramEnd"/>
      <w:r>
        <w:rPr>
          <w:rFonts w:ascii="仿宋_GB2312" w:eastAsia="仿宋_GB2312" w:hAnsi="仿宋_GB2312" w:cs="仿宋_GB2312" w:hint="eastAsia"/>
          <w:sz w:val="32"/>
          <w:szCs w:val="32"/>
        </w:rPr>
        <w:t>通量分析进行稻田源头氮磷排放关键物候期</w:t>
      </w:r>
      <w:proofErr w:type="gramStart"/>
      <w:r>
        <w:rPr>
          <w:rFonts w:ascii="仿宋_GB2312" w:eastAsia="仿宋_GB2312" w:hAnsi="仿宋_GB2312" w:cs="仿宋_GB2312" w:hint="eastAsia"/>
          <w:sz w:val="32"/>
          <w:szCs w:val="32"/>
        </w:rPr>
        <w:t>甑</w:t>
      </w:r>
      <w:proofErr w:type="gramEnd"/>
      <w:r>
        <w:rPr>
          <w:rFonts w:ascii="仿宋_GB2312" w:eastAsia="仿宋_GB2312" w:hAnsi="仿宋_GB2312" w:cs="仿宋_GB2312" w:hint="eastAsia"/>
          <w:sz w:val="32"/>
          <w:szCs w:val="32"/>
        </w:rPr>
        <w:t>别与定量，明确我省稻田氮磷排放的关键时段及所占比重；通过田间定位实验，明确稻田关键物候期氮磷排放主要控制因子；通过实时实地监测，研究养分管理、水肥协作、降雨、灌溉、土壤质地、作物根系、地形等</w:t>
      </w:r>
      <w:proofErr w:type="gramStart"/>
      <w:r>
        <w:rPr>
          <w:rFonts w:ascii="仿宋_GB2312" w:eastAsia="仿宋_GB2312" w:hAnsi="仿宋_GB2312" w:cs="仿宋_GB2312" w:hint="eastAsia"/>
          <w:sz w:val="32"/>
          <w:szCs w:val="32"/>
        </w:rPr>
        <w:t>因素对氮磷</w:t>
      </w:r>
      <w:proofErr w:type="gramEnd"/>
      <w:r>
        <w:rPr>
          <w:rFonts w:ascii="仿宋_GB2312" w:eastAsia="仿宋_GB2312" w:hAnsi="仿宋_GB2312" w:cs="仿宋_GB2312" w:hint="eastAsia"/>
          <w:sz w:val="32"/>
          <w:szCs w:val="32"/>
        </w:rPr>
        <w:t>排放的影响，明确农田氮磷迁移转化的关键驱动因子，并确定建立农田氮磷流失量与关键驱动因子之间的定量关系；通过因子固化，结合模拟试验，研究主控</w:t>
      </w:r>
      <w:proofErr w:type="gramStart"/>
      <w:r>
        <w:rPr>
          <w:rFonts w:ascii="仿宋_GB2312" w:eastAsia="仿宋_GB2312" w:hAnsi="仿宋_GB2312" w:cs="仿宋_GB2312" w:hint="eastAsia"/>
          <w:sz w:val="32"/>
          <w:szCs w:val="32"/>
        </w:rPr>
        <w:t>因子对氮磷</w:t>
      </w:r>
      <w:proofErr w:type="gramEnd"/>
      <w:r>
        <w:rPr>
          <w:rFonts w:ascii="仿宋_GB2312" w:eastAsia="仿宋_GB2312" w:hAnsi="仿宋_GB2312" w:cs="仿宋_GB2312" w:hint="eastAsia"/>
          <w:sz w:val="32"/>
          <w:szCs w:val="32"/>
        </w:rPr>
        <w:t>排放控制的作用机制。</w:t>
      </w:r>
      <w:r>
        <w:rPr>
          <w:rStyle w:val="grye4"/>
          <w:rFonts w:ascii="仿宋_GB2312" w:eastAsia="仿宋_GB2312" w:hAnsi="仿宋_GB2312" w:cs="仿宋_GB2312" w:hint="eastAsia"/>
          <w:sz w:val="32"/>
          <w:szCs w:val="32"/>
        </w:rPr>
        <w:t>采用现场实验与室内模拟相结合的研究手段，主要污染物降解优势菌群的筛选，进行低温筛选、富集及驯化实验，微生物降解效果和污染修复效能等应用基础</w:t>
      </w:r>
      <w:r>
        <w:rPr>
          <w:rStyle w:val="grye4"/>
          <w:rFonts w:ascii="仿宋_GB2312" w:eastAsia="仿宋_GB2312" w:hAnsi="仿宋_GB2312" w:cs="仿宋_GB2312" w:hint="eastAsia"/>
          <w:sz w:val="32"/>
          <w:szCs w:val="32"/>
        </w:rPr>
        <w:lastRenderedPageBreak/>
        <w:t>研究，</w:t>
      </w:r>
      <w:r>
        <w:rPr>
          <w:rFonts w:ascii="仿宋_GB2312" w:eastAsia="仿宋_GB2312" w:hAnsi="仿宋_GB2312" w:cs="仿宋_GB2312" w:hint="eastAsia"/>
          <w:sz w:val="32"/>
          <w:szCs w:val="32"/>
        </w:rPr>
        <w:t>培育具有环境保护与修复功能的微生物新品种，建立种质资源库，</w:t>
      </w:r>
      <w:r>
        <w:rPr>
          <w:rStyle w:val="grye4"/>
          <w:rFonts w:ascii="仿宋_GB2312" w:eastAsia="仿宋_GB2312" w:hAnsi="仿宋_GB2312" w:cs="仿宋_GB2312" w:hint="eastAsia"/>
          <w:sz w:val="32"/>
          <w:szCs w:val="32"/>
        </w:rPr>
        <w:t>对为污染土壤修复和水体修复提供技术支持及研究基础。</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1B1E76">
      <w:pPr>
        <w:spacing w:line="600" w:lineRule="exact"/>
        <w:ind w:firstLineChars="200" w:firstLine="640"/>
        <w:rPr>
          <w:rFonts w:ascii="仿宋_GB2312" w:eastAsia="仿宋_GB2312" w:hAnsi="仿宋_GB2312" w:cs="仿宋_GB2312"/>
          <w:sz w:val="32"/>
          <w:szCs w:val="32"/>
        </w:rPr>
      </w:pPr>
    </w:p>
    <w:p w:rsidR="001B1E76" w:rsidRDefault="00337F2A">
      <w:pPr>
        <w:spacing w:line="60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4</w:t>
      </w:r>
      <w:r>
        <w:rPr>
          <w:rFonts w:ascii="仿宋_GB2312" w:eastAsia="仿宋_GB2312" w:hAnsi="仿宋_GB2312" w:cs="仿宋_GB2312" w:hint="eastAsia"/>
          <w:color w:val="FF0000"/>
          <w:sz w:val="32"/>
          <w:szCs w:val="32"/>
        </w:rPr>
        <w:t>、区块链技术的基础科学和应用基础研究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当前，新一轮科技和产业革命正在创造历史性机遇，区块链技术作为一项迭代性重大技术创新成果，已延伸应用到金融科技、物联网、社会治理、供应链管理、数字资产交易等诸多领域，其应用创新日渐成为引领发展的新</w:t>
      </w:r>
      <w:r>
        <w:rPr>
          <w:rFonts w:ascii="仿宋_GB2312" w:eastAsia="仿宋_GB2312" w:hAnsi="仿宋_GB2312" w:cs="仿宋_GB2312" w:hint="eastAsia"/>
          <w:sz w:val="32"/>
          <w:szCs w:val="32"/>
        </w:rPr>
        <w:t>动力，有可能引发新一轮技术创新和产业变革。区块链被预言将引领人类互联网进入第三次巨变，甚至将会重新定义世界，是近现代，一次生产关系重要的变革。</w:t>
      </w:r>
      <w:r>
        <w:rPr>
          <w:rFonts w:ascii="仿宋_GB2312" w:eastAsia="仿宋_GB2312" w:hAnsi="仿宋_GB2312" w:cs="仿宋_GB2312" w:hint="eastAsia"/>
          <w:sz w:val="32"/>
          <w:szCs w:val="32"/>
        </w:rPr>
        <w:t>开展区块链技术领域的基础研究和应用基础研究，对于</w:t>
      </w:r>
      <w:r>
        <w:rPr>
          <w:rFonts w:ascii="仿宋_GB2312" w:eastAsia="仿宋_GB2312" w:hAnsi="仿宋_GB2312" w:cs="仿宋_GB2312" w:hint="eastAsia"/>
          <w:sz w:val="32"/>
          <w:szCs w:val="32"/>
        </w:rPr>
        <w:t>发挥区块链技术的融合性、渗透性和耦合性作用，提高供给能力，深化区块链在经济社会各领域的融合作用</w:t>
      </w:r>
      <w:r>
        <w:rPr>
          <w:rFonts w:ascii="仿宋_GB2312" w:eastAsia="仿宋_GB2312" w:hAnsi="仿宋_GB2312" w:cs="仿宋_GB2312" w:hint="eastAsia"/>
          <w:sz w:val="32"/>
          <w:szCs w:val="32"/>
        </w:rPr>
        <w:t>具有重要意义</w:t>
      </w:r>
      <w:r>
        <w:rPr>
          <w:rFonts w:ascii="仿宋_GB2312" w:eastAsia="仿宋_GB2312" w:hAnsi="仿宋_GB2312" w:cs="仿宋_GB2312" w:hint="eastAsia"/>
          <w:sz w:val="32"/>
          <w:szCs w:val="32"/>
        </w:rPr>
        <w:t>。</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开展区块链加密算法、共识机制、智能合约、侧链</w:t>
      </w:r>
      <w:proofErr w:type="gramStart"/>
      <w:r>
        <w:rPr>
          <w:rFonts w:ascii="仿宋_GB2312" w:eastAsia="仿宋_GB2312" w:hAnsi="仿宋_GB2312" w:cs="仿宋_GB2312" w:hint="eastAsia"/>
          <w:sz w:val="32"/>
          <w:szCs w:val="32"/>
        </w:rPr>
        <w:t>与跨链等</w:t>
      </w:r>
      <w:proofErr w:type="gramEnd"/>
      <w:r>
        <w:rPr>
          <w:rFonts w:ascii="仿宋_GB2312" w:eastAsia="仿宋_GB2312" w:hAnsi="仿宋_GB2312" w:cs="仿宋_GB2312" w:hint="eastAsia"/>
          <w:sz w:val="32"/>
          <w:szCs w:val="32"/>
        </w:rPr>
        <w:t>底层</w:t>
      </w:r>
      <w:proofErr w:type="gramStart"/>
      <w:r>
        <w:rPr>
          <w:rFonts w:ascii="仿宋_GB2312" w:eastAsia="仿宋_GB2312" w:hAnsi="仿宋_GB2312" w:cs="仿宋_GB2312" w:hint="eastAsia"/>
          <w:sz w:val="32"/>
          <w:szCs w:val="32"/>
        </w:rPr>
        <w:t>公链技术</w:t>
      </w:r>
      <w:proofErr w:type="gramEnd"/>
      <w:r>
        <w:rPr>
          <w:rFonts w:ascii="仿宋_GB2312" w:eastAsia="仿宋_GB2312" w:hAnsi="仿宋_GB2312" w:cs="仿宋_GB2312" w:hint="eastAsia"/>
          <w:sz w:val="32"/>
          <w:szCs w:val="32"/>
        </w:rPr>
        <w:t>研究，全审计、防御部署、漏洞检测、区块链金融风险防范等区块链安全技术研究，</w:t>
      </w:r>
      <w:proofErr w:type="gramStart"/>
      <w:r>
        <w:rPr>
          <w:rFonts w:ascii="仿宋_GB2312" w:eastAsia="仿宋_GB2312" w:hAnsi="仿宋_GB2312" w:cs="仿宋_GB2312" w:hint="eastAsia"/>
          <w:sz w:val="32"/>
          <w:szCs w:val="32"/>
        </w:rPr>
        <w:t>强化区</w:t>
      </w:r>
      <w:proofErr w:type="gramEnd"/>
      <w:r>
        <w:rPr>
          <w:rFonts w:ascii="仿宋_GB2312" w:eastAsia="仿宋_GB2312" w:hAnsi="仿宋_GB2312" w:cs="仿宋_GB2312" w:hint="eastAsia"/>
          <w:sz w:val="32"/>
          <w:szCs w:val="32"/>
        </w:rPr>
        <w:t>块链技术安全和风险防范解决方案研究；开展应用框架、分布</w:t>
      </w:r>
      <w:r>
        <w:rPr>
          <w:rFonts w:ascii="仿宋_GB2312" w:eastAsia="仿宋_GB2312" w:hAnsi="仿宋_GB2312" w:cs="仿宋_GB2312" w:hint="eastAsia"/>
          <w:sz w:val="32"/>
          <w:szCs w:val="32"/>
        </w:rPr>
        <w:t>式存储、数据存储及交换标准化设计、可信执行环境等应用场景应用基础研究，为区块链应用技术体系提供基础理论支撑。</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预期目标</w:t>
      </w:r>
      <w:r>
        <w:rPr>
          <w:rFonts w:ascii="仿宋_GB2312" w:eastAsia="仿宋_GB2312" w:hAnsi="仿宋_GB2312" w:cs="仿宋_GB2312" w:hint="eastAsia"/>
          <w:sz w:val="32"/>
          <w:szCs w:val="32"/>
        </w:rPr>
        <w:t>：</w:t>
      </w:r>
    </w:p>
    <w:p w:rsidR="001B1E76" w:rsidRDefault="001B1E76">
      <w:pPr>
        <w:spacing w:line="600" w:lineRule="exact"/>
        <w:ind w:firstLineChars="200" w:firstLine="640"/>
        <w:rPr>
          <w:rFonts w:ascii="仿宋_GB2312" w:eastAsia="仿宋_GB2312" w:hAnsi="仿宋_GB2312" w:cs="仿宋_GB2312"/>
          <w:color w:val="FF0000"/>
          <w:sz w:val="32"/>
          <w:szCs w:val="32"/>
        </w:rPr>
      </w:pPr>
    </w:p>
    <w:p w:rsidR="001B1E76" w:rsidRDefault="00337F2A">
      <w:pPr>
        <w:spacing w:line="60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5</w:t>
      </w:r>
      <w:r>
        <w:rPr>
          <w:rFonts w:ascii="仿宋_GB2312" w:eastAsia="仿宋_GB2312" w:hAnsi="仿宋_GB2312" w:cs="仿宋_GB2312" w:hint="eastAsia"/>
          <w:color w:val="FF0000"/>
          <w:sz w:val="32"/>
          <w:szCs w:val="32"/>
        </w:rPr>
        <w:t>、人工智能技术的基础和应用基础研究。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以互联网为核心的新一轮科技和产业革命蓄势待发，人工智能、虚拟现实等新技术日新月异，虚拟经济与实体经济的结合，将给人们的生产方式和生活方式带来革命性变化。加快发展新一代人工智能是事关我国能否抓住新一轮科技革命和产业变革机遇的战略问题。</w:t>
      </w:r>
      <w:r>
        <w:rPr>
          <w:rFonts w:ascii="仿宋_GB2312" w:eastAsia="仿宋_GB2312" w:hAnsi="仿宋_GB2312" w:cs="仿宋_GB2312" w:hint="eastAsia"/>
          <w:sz w:val="32"/>
          <w:szCs w:val="32"/>
        </w:rPr>
        <w:t>开展</w:t>
      </w:r>
      <w:r>
        <w:rPr>
          <w:rFonts w:ascii="仿宋_GB2312" w:eastAsia="仿宋_GB2312" w:hAnsi="仿宋_GB2312" w:cs="仿宋_GB2312" w:hint="eastAsia"/>
          <w:sz w:val="32"/>
          <w:szCs w:val="32"/>
        </w:rPr>
        <w:t>人工智能理论、方法、工具、系统等方面</w:t>
      </w:r>
      <w:r>
        <w:rPr>
          <w:rFonts w:ascii="仿宋_GB2312" w:eastAsia="仿宋_GB2312" w:hAnsi="仿宋_GB2312" w:cs="仿宋_GB2312" w:hint="eastAsia"/>
          <w:sz w:val="32"/>
          <w:szCs w:val="32"/>
        </w:rPr>
        <w:t>的研究，是我省紧跟</w:t>
      </w:r>
      <w:r>
        <w:rPr>
          <w:rFonts w:ascii="仿宋_GB2312" w:eastAsia="仿宋_GB2312" w:hAnsi="仿宋_GB2312" w:cs="仿宋_GB2312" w:hint="eastAsia"/>
          <w:sz w:val="32"/>
          <w:szCs w:val="32"/>
        </w:rPr>
        <w:t>人工智能理论前</w:t>
      </w:r>
      <w:r>
        <w:rPr>
          <w:rFonts w:ascii="仿宋_GB2312" w:eastAsia="仿宋_GB2312" w:hAnsi="仿宋_GB2312" w:cs="仿宋_GB2312" w:hint="eastAsia"/>
          <w:sz w:val="32"/>
          <w:szCs w:val="32"/>
        </w:rPr>
        <w:t>沿、抢占</w:t>
      </w:r>
      <w:r>
        <w:rPr>
          <w:rFonts w:ascii="仿宋_GB2312" w:eastAsia="仿宋_GB2312" w:hAnsi="仿宋_GB2312" w:cs="仿宋_GB2312" w:hint="eastAsia"/>
          <w:sz w:val="32"/>
          <w:szCs w:val="32"/>
        </w:rPr>
        <w:t>关键核心技术制高点</w:t>
      </w:r>
      <w:r>
        <w:rPr>
          <w:rFonts w:ascii="仿宋_GB2312" w:eastAsia="仿宋_GB2312" w:hAnsi="仿宋_GB2312" w:cs="仿宋_GB2312" w:hint="eastAsia"/>
          <w:sz w:val="32"/>
          <w:szCs w:val="32"/>
        </w:rPr>
        <w:t>的需要</w:t>
      </w:r>
      <w:r>
        <w:rPr>
          <w:rFonts w:ascii="仿宋_GB2312" w:eastAsia="仿宋_GB2312" w:hAnsi="仿宋_GB2312" w:cs="仿宋_GB2312" w:hint="eastAsia"/>
          <w:sz w:val="32"/>
          <w:szCs w:val="32"/>
        </w:rPr>
        <w:t>。</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主要面向人工智能前沿基础、智能自主运动体、复杂过程智能优化决策三大方向支持开展相关研究，解决人工智能前沿基础性问题，建立人工智能理论与模型，开展智能优化决策的基础理论、关键技术与应用验证研究。结合机器人与以人工智能为代表的新一代信息技术深度融合的发展趋势，开展机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材料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驱动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传感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控制与仿生的创新技术、智能机器人感知与认知技术、智能机器人学习与智能增殖技术、人机自然</w:t>
      </w:r>
      <w:proofErr w:type="gramStart"/>
      <w:r>
        <w:rPr>
          <w:rFonts w:ascii="仿宋_GB2312" w:eastAsia="仿宋_GB2312" w:hAnsi="仿宋_GB2312" w:cs="仿宋_GB2312" w:hint="eastAsia"/>
          <w:sz w:val="32"/>
          <w:szCs w:val="32"/>
        </w:rPr>
        <w:t>交互与协作共</w:t>
      </w:r>
      <w:proofErr w:type="gramEnd"/>
      <w:r>
        <w:rPr>
          <w:rFonts w:ascii="仿宋_GB2312" w:eastAsia="仿宋_GB2312" w:hAnsi="仿宋_GB2312" w:cs="仿宋_GB2312" w:hint="eastAsia"/>
          <w:sz w:val="32"/>
          <w:szCs w:val="32"/>
        </w:rPr>
        <w:t>融技术等重大基础前沿技术研究，搭建机器人技术验证平台系统，开展试验验证，取得原创性创新成果，为新一代智能机器人提供</w:t>
      </w:r>
      <w:r>
        <w:rPr>
          <w:rFonts w:ascii="仿宋_GB2312" w:eastAsia="仿宋_GB2312" w:hAnsi="仿宋_GB2312" w:cs="仿宋_GB2312" w:hint="eastAsia"/>
          <w:sz w:val="32"/>
          <w:szCs w:val="32"/>
        </w:rPr>
        <w:t>技术支撑。</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1B1E76">
      <w:pPr>
        <w:spacing w:line="600" w:lineRule="exact"/>
        <w:ind w:firstLineChars="200" w:firstLine="640"/>
        <w:rPr>
          <w:rFonts w:ascii="仿宋_GB2312" w:eastAsia="仿宋_GB2312" w:hAnsi="仿宋_GB2312" w:cs="仿宋_GB2312"/>
          <w:color w:val="FF0000"/>
          <w:sz w:val="32"/>
          <w:szCs w:val="32"/>
        </w:rPr>
      </w:pPr>
    </w:p>
    <w:p w:rsidR="001B1E76" w:rsidRDefault="00337F2A">
      <w:pPr>
        <w:spacing w:line="60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6</w:t>
      </w:r>
      <w:r>
        <w:rPr>
          <w:rFonts w:ascii="仿宋_GB2312" w:eastAsia="仿宋_GB2312" w:hAnsi="仿宋_GB2312" w:cs="仿宋_GB2312" w:hint="eastAsia"/>
          <w:color w:val="FF0000"/>
          <w:sz w:val="32"/>
          <w:szCs w:val="32"/>
        </w:rPr>
        <w:t>、铝合金复合材料制备的理论与方法研究。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研究意义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铝合金材料具有比重小、导热性好、易于成型、价格低廉等特点，已经广泛</w:t>
      </w:r>
      <w:proofErr w:type="gramStart"/>
      <w:r>
        <w:rPr>
          <w:rFonts w:ascii="仿宋_GB2312" w:eastAsia="仿宋_GB2312" w:hAnsi="仿宋_GB2312" w:cs="仿宋_GB2312" w:hint="eastAsia"/>
          <w:sz w:val="32"/>
          <w:szCs w:val="32"/>
        </w:rPr>
        <w:t>诮</w:t>
      </w:r>
      <w:proofErr w:type="gramEnd"/>
      <w:r>
        <w:rPr>
          <w:rFonts w:ascii="仿宋_GB2312" w:eastAsia="仿宋_GB2312" w:hAnsi="仿宋_GB2312" w:cs="仿宋_GB2312" w:hint="eastAsia"/>
          <w:sz w:val="32"/>
          <w:szCs w:val="32"/>
        </w:rPr>
        <w:t>于航空航天、交通运输、轻工建材等领域，是轻合金中应用最广的合金。湖南铝合金具有一定的研发实力和产业基础，湖南大学、中南大学都具有较强的研发平台和团队，在产业方面，湖南铝合金产业产值在</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亿</w:t>
      </w:r>
      <w:r>
        <w:rPr>
          <w:rFonts w:ascii="仿宋_GB2312" w:eastAsia="仿宋_GB2312" w:hAnsi="仿宋_GB2312" w:cs="仿宋_GB2312" w:hint="eastAsia"/>
          <w:sz w:val="32"/>
          <w:szCs w:val="32"/>
        </w:rPr>
        <w:t>以上。但是，我省铝合金产业中，产品仍然处于低端，应用于航空航天、轨道交通、汽车轻量化等方面的高性能铝合金板材基本处于空白。开展</w:t>
      </w:r>
      <w:r>
        <w:rPr>
          <w:rFonts w:ascii="仿宋_GB2312" w:eastAsia="仿宋_GB2312" w:hAnsi="仿宋_GB2312" w:cs="仿宋_GB2312" w:hint="eastAsia"/>
          <w:sz w:val="32"/>
          <w:szCs w:val="32"/>
        </w:rPr>
        <w:t>铝合金复合材料制备的理论与方法研究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对于提升我省铝合金复合材料制备技术具有重要的支撑意义。</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围绕高端装备用高性能铝合金材料加工与生产的技术研究，开展</w:t>
      </w:r>
      <w:r>
        <w:rPr>
          <w:rFonts w:ascii="仿宋_GB2312" w:eastAsia="仿宋_GB2312" w:hAnsi="仿宋_GB2312" w:cs="仿宋_GB2312" w:hint="eastAsia"/>
          <w:sz w:val="32"/>
          <w:szCs w:val="32"/>
        </w:rPr>
        <w:t>AI-</w:t>
      </w:r>
      <w:proofErr w:type="spellStart"/>
      <w:r>
        <w:rPr>
          <w:rFonts w:ascii="仿宋_GB2312" w:eastAsia="仿宋_GB2312" w:hAnsi="仿宋_GB2312" w:cs="仿宋_GB2312" w:hint="eastAsia"/>
          <w:sz w:val="32"/>
          <w:szCs w:val="32"/>
        </w:rPr>
        <w:t>Ti</w:t>
      </w:r>
      <w:proofErr w:type="spellEnd"/>
      <w:r>
        <w:rPr>
          <w:rFonts w:ascii="仿宋_GB2312" w:eastAsia="仿宋_GB2312" w:hAnsi="仿宋_GB2312" w:cs="仿宋_GB2312" w:hint="eastAsia"/>
          <w:sz w:val="32"/>
          <w:szCs w:val="32"/>
        </w:rPr>
        <w:t>-B-Re</w:t>
      </w:r>
      <w:r>
        <w:rPr>
          <w:rFonts w:ascii="仿宋_GB2312" w:eastAsia="仿宋_GB2312" w:hAnsi="仿宋_GB2312" w:cs="仿宋_GB2312" w:hint="eastAsia"/>
          <w:sz w:val="32"/>
          <w:szCs w:val="32"/>
        </w:rPr>
        <w:t>等就</w:t>
      </w:r>
      <w:proofErr w:type="gramStart"/>
      <w:r>
        <w:rPr>
          <w:rFonts w:ascii="仿宋_GB2312" w:eastAsia="仿宋_GB2312" w:hAnsi="仿宋_GB2312" w:cs="仿宋_GB2312" w:hint="eastAsia"/>
          <w:sz w:val="32"/>
          <w:szCs w:val="32"/>
        </w:rPr>
        <w:t>能质剂</w:t>
      </w:r>
      <w:proofErr w:type="gramEnd"/>
      <w:r>
        <w:rPr>
          <w:rFonts w:ascii="仿宋_GB2312" w:eastAsia="仿宋_GB2312" w:hAnsi="仿宋_GB2312" w:cs="仿宋_GB2312" w:hint="eastAsia"/>
          <w:sz w:val="32"/>
          <w:szCs w:val="32"/>
        </w:rPr>
        <w:t>合金的熔</w:t>
      </w:r>
      <w:proofErr w:type="gramStart"/>
      <w:r>
        <w:rPr>
          <w:rFonts w:ascii="仿宋_GB2312" w:eastAsia="仿宋_GB2312" w:hAnsi="仿宋_GB2312" w:cs="仿宋_GB2312" w:hint="eastAsia"/>
          <w:sz w:val="32"/>
          <w:szCs w:val="32"/>
        </w:rPr>
        <w:t>炬</w:t>
      </w:r>
      <w:proofErr w:type="gramEnd"/>
      <w:r>
        <w:rPr>
          <w:rFonts w:ascii="仿宋_GB2312" w:eastAsia="仿宋_GB2312" w:hAnsi="仿宋_GB2312" w:cs="仿宋_GB2312" w:hint="eastAsia"/>
          <w:sz w:val="32"/>
          <w:szCs w:val="32"/>
        </w:rPr>
        <w:t>铸造工艺、连续剪切挤压模具及工艺、变质相调控等方面应用基础研究，从源头上解决影</w:t>
      </w:r>
      <w:r>
        <w:rPr>
          <w:rFonts w:ascii="仿宋_GB2312" w:eastAsia="仿宋_GB2312" w:hAnsi="仿宋_GB2312" w:cs="仿宋_GB2312" w:hint="eastAsia"/>
          <w:sz w:val="32"/>
          <w:szCs w:val="32"/>
        </w:rPr>
        <w:t>响高性能铝合金表面质量与内部质量的熔铸用细化</w:t>
      </w:r>
      <w:proofErr w:type="gramStart"/>
      <w:r>
        <w:rPr>
          <w:rFonts w:ascii="仿宋_GB2312" w:eastAsia="仿宋_GB2312" w:hAnsi="仿宋_GB2312" w:cs="仿宋_GB2312" w:hint="eastAsia"/>
          <w:sz w:val="32"/>
          <w:szCs w:val="32"/>
        </w:rPr>
        <w:t>剂材料</w:t>
      </w:r>
      <w:proofErr w:type="gramEnd"/>
      <w:r>
        <w:rPr>
          <w:rFonts w:ascii="仿宋_GB2312" w:eastAsia="仿宋_GB2312" w:hAnsi="仿宋_GB2312" w:cs="仿宋_GB2312" w:hint="eastAsia"/>
          <w:sz w:val="32"/>
          <w:szCs w:val="32"/>
        </w:rPr>
        <w:t>和变质材料等基础材料问题。</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1B1E76">
      <w:pPr>
        <w:spacing w:line="600" w:lineRule="exact"/>
        <w:ind w:firstLineChars="200" w:firstLine="640"/>
        <w:rPr>
          <w:rFonts w:ascii="仿宋_GB2312" w:eastAsia="仿宋_GB2312" w:hAnsi="仿宋_GB2312" w:cs="仿宋_GB2312"/>
          <w:sz w:val="32"/>
          <w:szCs w:val="32"/>
        </w:rPr>
      </w:pPr>
    </w:p>
    <w:p w:rsidR="001B1E76" w:rsidRDefault="00337F2A">
      <w:pPr>
        <w:spacing w:line="60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7</w:t>
      </w:r>
      <w:r>
        <w:rPr>
          <w:rFonts w:ascii="仿宋_GB2312" w:eastAsia="仿宋_GB2312" w:hAnsi="仿宋_GB2312" w:cs="仿宋_GB2312" w:hint="eastAsia"/>
          <w:color w:val="FF0000"/>
          <w:sz w:val="32"/>
          <w:szCs w:val="32"/>
        </w:rPr>
        <w:t>、网络协同制造理论与模式研究。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：“互联网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”协同制造，推动互联网与制造业融合，提升制造业数字化、网络化、智能化水平，加强产业链协作，发展机遇互联网的协同制造新模式。</w:t>
      </w:r>
      <w:r>
        <w:rPr>
          <w:rFonts w:ascii="仿宋_GB2312" w:eastAsia="仿宋_GB2312" w:hAnsi="仿宋_GB2312" w:cs="仿宋_GB2312" w:hint="eastAsia"/>
          <w:sz w:val="32"/>
          <w:szCs w:val="32"/>
        </w:rPr>
        <w:t>发达国家也在探索“工业”与“互联网”的融合创新，德国称之为“工业</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”，美国称之为“工业互联网”。</w:t>
      </w:r>
      <w:r>
        <w:rPr>
          <w:rFonts w:ascii="仿宋_GB2312" w:eastAsia="仿宋_GB2312" w:hAnsi="仿宋_GB2312" w:cs="仿宋_GB2312" w:hint="eastAsia"/>
          <w:sz w:val="32"/>
          <w:szCs w:val="32"/>
        </w:rPr>
        <w:t>湖南省</w:t>
      </w:r>
      <w:r>
        <w:rPr>
          <w:rFonts w:ascii="仿宋_GB2312" w:eastAsia="仿宋_GB2312" w:hAnsi="仿宋_GB2312" w:cs="仿宋_GB2312" w:hint="eastAsia"/>
          <w:sz w:val="32"/>
          <w:szCs w:val="32"/>
        </w:rPr>
        <w:t>制造业要想</w:t>
      </w:r>
      <w:r>
        <w:rPr>
          <w:rFonts w:ascii="仿宋_GB2312" w:eastAsia="仿宋_GB2312" w:hAnsi="仿宋_GB2312" w:cs="仿宋_GB2312" w:hint="eastAsia"/>
          <w:sz w:val="32"/>
          <w:szCs w:val="32"/>
        </w:rPr>
        <w:lastRenderedPageBreak/>
        <w:t>从大做强，向智能化转型是必然的路径。</w:t>
      </w:r>
      <w:r>
        <w:rPr>
          <w:rFonts w:ascii="仿宋_GB2312" w:eastAsia="仿宋_GB2312" w:hAnsi="仿宋_GB2312" w:cs="仿宋_GB2312" w:hint="eastAsia"/>
          <w:sz w:val="32"/>
          <w:szCs w:val="32"/>
        </w:rPr>
        <w:t>开展</w:t>
      </w:r>
      <w:r>
        <w:rPr>
          <w:rFonts w:ascii="仿宋_GB2312" w:eastAsia="仿宋_GB2312" w:hAnsi="仿宋_GB2312" w:cs="仿宋_GB2312" w:hint="eastAsia"/>
          <w:sz w:val="32"/>
          <w:szCs w:val="32"/>
        </w:rPr>
        <w:t>“互联网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协同制造”</w:t>
      </w:r>
      <w:r>
        <w:rPr>
          <w:rFonts w:ascii="仿宋_GB2312" w:eastAsia="仿宋_GB2312" w:hAnsi="仿宋_GB2312" w:cs="仿宋_GB2312" w:hint="eastAsia"/>
          <w:sz w:val="32"/>
          <w:szCs w:val="32"/>
        </w:rPr>
        <w:t>的理论与模式研究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是提升</w:t>
      </w:r>
      <w:r>
        <w:rPr>
          <w:rFonts w:ascii="仿宋_GB2312" w:eastAsia="仿宋_GB2312" w:hAnsi="仿宋_GB2312" w:cs="仿宋_GB2312" w:hint="eastAsia"/>
          <w:sz w:val="32"/>
          <w:szCs w:val="32"/>
        </w:rPr>
        <w:t>装备制造业网络化协同制造</w:t>
      </w:r>
      <w:r>
        <w:rPr>
          <w:rFonts w:ascii="仿宋_GB2312" w:eastAsia="仿宋_GB2312" w:hAnsi="仿宋_GB2312" w:cs="仿宋_GB2312" w:hint="eastAsia"/>
          <w:sz w:val="32"/>
          <w:szCs w:val="32"/>
        </w:rPr>
        <w:t>技术创新</w:t>
      </w:r>
      <w:r>
        <w:rPr>
          <w:rFonts w:ascii="仿宋_GB2312" w:eastAsia="仿宋_GB2312" w:hAnsi="仿宋_GB2312" w:cs="仿宋_GB2312" w:hint="eastAsia"/>
          <w:sz w:val="32"/>
          <w:szCs w:val="32"/>
        </w:rPr>
        <w:t>水平</w:t>
      </w:r>
      <w:r>
        <w:rPr>
          <w:rFonts w:ascii="仿宋_GB2312" w:eastAsia="仿宋_GB2312" w:hAnsi="仿宋_GB2312" w:cs="仿宋_GB2312" w:hint="eastAsia"/>
          <w:sz w:val="32"/>
          <w:szCs w:val="32"/>
        </w:rPr>
        <w:t>的重要支撑</w:t>
      </w:r>
      <w:r>
        <w:rPr>
          <w:rFonts w:ascii="仿宋_GB2312" w:eastAsia="仿宋_GB2312" w:hAnsi="仿宋_GB2312" w:cs="仿宋_GB2312" w:hint="eastAsia"/>
          <w:sz w:val="32"/>
          <w:szCs w:val="32"/>
        </w:rPr>
        <w:t>。</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围绕推进互联网与制造业、服务业与制造业融合发展以及打造智慧企业的创新需求，探索</w:t>
      </w:r>
      <w:proofErr w:type="gramStart"/>
      <w:r>
        <w:rPr>
          <w:rFonts w:ascii="仿宋_GB2312" w:eastAsia="仿宋_GB2312" w:hAnsi="仿宋_GB2312" w:cs="仿宋_GB2312" w:hint="eastAsia"/>
          <w:sz w:val="32"/>
          <w:szCs w:val="32"/>
        </w:rPr>
        <w:t>云制造</w:t>
      </w:r>
      <w:proofErr w:type="gramEnd"/>
      <w:r>
        <w:rPr>
          <w:rFonts w:ascii="仿宋_GB2312" w:eastAsia="仿宋_GB2312" w:hAnsi="仿宋_GB2312" w:cs="仿宋_GB2312" w:hint="eastAsia"/>
          <w:sz w:val="32"/>
          <w:szCs w:val="32"/>
        </w:rPr>
        <w:t>等网络协同制造新模式；研究智慧空间与工业大数据、服务型制造与制造服务融合等前沿理论；研发与构建产品全生命周期制造服务融合、多模式智能供应链、服务价值链协同、多学科支撑的工业大数据精准分析、在线运维与预测运营等核心模型与关键技术，为重塑制造业技术体系、产业形态和价值</w:t>
      </w:r>
      <w:proofErr w:type="gramStart"/>
      <w:r>
        <w:rPr>
          <w:rFonts w:ascii="仿宋_GB2312" w:eastAsia="仿宋_GB2312" w:hAnsi="仿宋_GB2312" w:cs="仿宋_GB2312" w:hint="eastAsia"/>
          <w:sz w:val="32"/>
          <w:szCs w:val="32"/>
        </w:rPr>
        <w:t>链提供</w:t>
      </w:r>
      <w:proofErr w:type="gramEnd"/>
      <w:r>
        <w:rPr>
          <w:rFonts w:ascii="仿宋_GB2312" w:eastAsia="仿宋_GB2312" w:hAnsi="仿宋_GB2312" w:cs="仿宋_GB2312" w:hint="eastAsia"/>
          <w:sz w:val="32"/>
          <w:szCs w:val="32"/>
        </w:rPr>
        <w:t>理论支撑。</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1B1E76">
      <w:pPr>
        <w:spacing w:line="600" w:lineRule="exact"/>
        <w:ind w:firstLineChars="200" w:firstLine="640"/>
        <w:rPr>
          <w:rFonts w:ascii="仿宋_GB2312" w:eastAsia="仿宋_GB2312" w:hAnsi="仿宋_GB2312" w:cs="仿宋_GB2312"/>
          <w:color w:val="FF0000"/>
          <w:sz w:val="32"/>
          <w:szCs w:val="32"/>
        </w:rPr>
      </w:pPr>
    </w:p>
    <w:p w:rsidR="001B1E76" w:rsidRDefault="00337F2A">
      <w:pPr>
        <w:spacing w:line="60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8</w:t>
      </w:r>
      <w:r>
        <w:rPr>
          <w:rFonts w:ascii="仿宋_GB2312" w:eastAsia="仿宋_GB2312" w:hAnsi="仿宋_GB2312" w:cs="仿宋_GB2312" w:hint="eastAsia"/>
          <w:color w:val="FF0000"/>
          <w:sz w:val="32"/>
          <w:szCs w:val="32"/>
        </w:rPr>
        <w:t>、高端液压件与密封</w:t>
      </w:r>
      <w:proofErr w:type="gramStart"/>
      <w:r>
        <w:rPr>
          <w:rFonts w:ascii="仿宋_GB2312" w:eastAsia="仿宋_GB2312" w:hAnsi="仿宋_GB2312" w:cs="仿宋_GB2312" w:hint="eastAsia"/>
          <w:color w:val="FF0000"/>
          <w:sz w:val="32"/>
          <w:szCs w:val="32"/>
        </w:rPr>
        <w:t>件开展</w:t>
      </w:r>
      <w:proofErr w:type="gramEnd"/>
      <w:r>
        <w:rPr>
          <w:rFonts w:ascii="仿宋_GB2312" w:eastAsia="仿宋_GB2312" w:hAnsi="仿宋_GB2312" w:cs="仿宋_GB2312" w:hint="eastAsia"/>
          <w:color w:val="FF0000"/>
          <w:sz w:val="32"/>
          <w:szCs w:val="32"/>
        </w:rPr>
        <w:t>新型高功率重量比和高能量密度液压件的设计方法研究。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：液压元件是现代装备制造业的重要基础件，也是机</w:t>
      </w:r>
      <w:r>
        <w:rPr>
          <w:rFonts w:ascii="仿宋_GB2312" w:eastAsia="仿宋_GB2312" w:hAnsi="仿宋_GB2312" w:cs="仿宋_GB2312" w:hint="eastAsia"/>
          <w:sz w:val="32"/>
          <w:szCs w:val="32"/>
        </w:rPr>
        <w:t>械工业的基础产业，可应用于民用、军工、航空、水利等领域，市场空间广阔。液压技术的应用程度已经成为衡量一国工业水平的重要标志之一。发达国家</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的工程机械、</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的数控加工中心、</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以上的自动线都采用了液压传动技术。我国</w:t>
      </w:r>
      <w:r>
        <w:rPr>
          <w:rFonts w:ascii="仿宋_GB2312" w:eastAsia="仿宋_GB2312" w:hAnsi="仿宋_GB2312" w:cs="仿宋_GB2312" w:hint="eastAsia"/>
          <w:sz w:val="32"/>
          <w:szCs w:val="32"/>
        </w:rPr>
        <w:t>70%</w:t>
      </w:r>
      <w:r>
        <w:rPr>
          <w:rFonts w:ascii="仿宋_GB2312" w:eastAsia="仿宋_GB2312" w:hAnsi="仿宋_GB2312" w:cs="仿宋_GB2312" w:hint="eastAsia"/>
          <w:sz w:val="32"/>
          <w:szCs w:val="32"/>
        </w:rPr>
        <w:t>的高端液压产品依赖进口，特别是在高端工程机械中，</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的液压件受制于人，</w:t>
      </w:r>
      <w:r>
        <w:rPr>
          <w:rFonts w:ascii="仿宋_GB2312" w:eastAsia="仿宋_GB2312" w:hAnsi="仿宋_GB2312" w:cs="仿宋_GB2312" w:hint="eastAsia"/>
          <w:sz w:val="32"/>
          <w:szCs w:val="32"/>
        </w:rPr>
        <w:t>70%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的利润给了国外液压产品制造商。</w:t>
      </w:r>
      <w:r>
        <w:rPr>
          <w:rFonts w:ascii="仿宋_GB2312" w:eastAsia="仿宋_GB2312" w:hAnsi="仿宋_GB2312" w:cs="仿宋_GB2312" w:hint="eastAsia"/>
          <w:sz w:val="32"/>
          <w:szCs w:val="32"/>
        </w:rPr>
        <w:t>工程机械产业是湖南省支柱产业，同样面</w:t>
      </w:r>
      <w:r>
        <w:rPr>
          <w:rFonts w:ascii="仿宋_GB2312" w:eastAsia="仿宋_GB2312" w:hAnsi="仿宋_GB2312" w:cs="仿宋_GB2312" w:hint="eastAsia"/>
          <w:sz w:val="32"/>
          <w:szCs w:val="32"/>
        </w:rPr>
        <w:lastRenderedPageBreak/>
        <w:t>临着</w:t>
      </w:r>
      <w:r>
        <w:rPr>
          <w:rFonts w:ascii="仿宋_GB2312" w:eastAsia="仿宋_GB2312" w:hAnsi="仿宋_GB2312" w:cs="仿宋_GB2312" w:hint="eastAsia"/>
          <w:sz w:val="32"/>
          <w:szCs w:val="32"/>
        </w:rPr>
        <w:t>高端液压产品依赖进口、液压件</w:t>
      </w:r>
      <w:r>
        <w:rPr>
          <w:rFonts w:ascii="仿宋_GB2312" w:eastAsia="仿宋_GB2312" w:hAnsi="仿宋_GB2312" w:cs="仿宋_GB2312" w:hint="eastAsia"/>
          <w:sz w:val="32"/>
          <w:szCs w:val="32"/>
        </w:rPr>
        <w:t>受</w:t>
      </w:r>
      <w:r>
        <w:rPr>
          <w:rFonts w:ascii="仿宋_GB2312" w:eastAsia="仿宋_GB2312" w:hAnsi="仿宋_GB2312" w:cs="仿宋_GB2312" w:hint="eastAsia"/>
          <w:sz w:val="32"/>
          <w:szCs w:val="32"/>
        </w:rPr>
        <w:t>制于人</w:t>
      </w:r>
      <w:r>
        <w:rPr>
          <w:rFonts w:ascii="仿宋_GB2312" w:eastAsia="仿宋_GB2312" w:hAnsi="仿宋_GB2312" w:cs="仿宋_GB2312" w:hint="eastAsia"/>
          <w:sz w:val="32"/>
          <w:szCs w:val="32"/>
        </w:rPr>
        <w:t>的局面。</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研究高参数液压阀、泵等新结构和新方法研究。研究密封可靠性设计、延寿、运行试验技术，建立性能评价体系与标准。</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337F2A">
      <w:pPr>
        <w:spacing w:line="600" w:lineRule="exact"/>
        <w:ind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9</w:t>
      </w:r>
      <w:r>
        <w:rPr>
          <w:rFonts w:ascii="仿宋_GB2312" w:eastAsia="仿宋_GB2312" w:hAnsi="仿宋_GB2312" w:cs="仿宋_GB2312" w:hint="eastAsia"/>
          <w:color w:val="FF0000"/>
          <w:sz w:val="32"/>
          <w:szCs w:val="32"/>
        </w:rPr>
        <w:t>、中药材质量评价新理论与新方法研究。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：中药产业是健康产业的重要内容之一。</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年，全省中药产业</w:t>
      </w:r>
      <w:proofErr w:type="gramStart"/>
      <w:r>
        <w:rPr>
          <w:rFonts w:ascii="仿宋_GB2312" w:eastAsia="仿宋_GB2312" w:hAnsi="仿宋_GB2312" w:cs="仿宋_GB2312" w:hint="eastAsia"/>
          <w:sz w:val="32"/>
          <w:szCs w:val="32"/>
        </w:rPr>
        <w:t>链规模</w:t>
      </w:r>
      <w:proofErr w:type="gramEnd"/>
      <w:r>
        <w:rPr>
          <w:rFonts w:ascii="仿宋_GB2312" w:eastAsia="仿宋_GB2312" w:hAnsi="仿宋_GB2312" w:cs="仿宋_GB2312" w:hint="eastAsia"/>
          <w:sz w:val="32"/>
          <w:szCs w:val="32"/>
        </w:rPr>
        <w:t>企业</w:t>
      </w:r>
      <w:r>
        <w:rPr>
          <w:rFonts w:ascii="仿宋_GB2312" w:eastAsia="仿宋_GB2312" w:hAnsi="仿宋_GB2312" w:cs="仿宋_GB2312" w:hint="eastAsia"/>
          <w:sz w:val="32"/>
          <w:szCs w:val="32"/>
        </w:rPr>
        <w:t>372</w:t>
      </w:r>
      <w:r>
        <w:rPr>
          <w:rFonts w:ascii="仿宋_GB2312" w:eastAsia="仿宋_GB2312" w:hAnsi="仿宋_GB2312" w:cs="仿宋_GB2312" w:hint="eastAsia"/>
          <w:sz w:val="32"/>
          <w:szCs w:val="32"/>
        </w:rPr>
        <w:t>家，完成主营业务收入</w:t>
      </w:r>
      <w:r>
        <w:rPr>
          <w:rFonts w:ascii="仿宋_GB2312" w:eastAsia="仿宋_GB2312" w:hAnsi="仿宋_GB2312" w:cs="仿宋_GB2312" w:hint="eastAsia"/>
          <w:sz w:val="32"/>
          <w:szCs w:val="32"/>
        </w:rPr>
        <w:t>571.3</w:t>
      </w:r>
      <w:r>
        <w:rPr>
          <w:rFonts w:ascii="仿宋_GB2312" w:eastAsia="仿宋_GB2312" w:hAnsi="仿宋_GB2312" w:cs="仿宋_GB2312" w:hint="eastAsia"/>
          <w:sz w:val="32"/>
          <w:szCs w:val="32"/>
        </w:rPr>
        <w:t>亿元。</w:t>
      </w:r>
      <w:r>
        <w:rPr>
          <w:rFonts w:ascii="仿宋_GB2312" w:eastAsia="仿宋_GB2312" w:hAnsi="仿宋_GB2312" w:cs="仿宋_GB2312" w:hint="eastAsia"/>
          <w:sz w:val="32"/>
          <w:szCs w:val="32"/>
        </w:rPr>
        <w:t>涌现了</w:t>
      </w:r>
      <w:r>
        <w:rPr>
          <w:rFonts w:ascii="仿宋_GB2312" w:eastAsia="仿宋_GB2312" w:hAnsi="仿宋_GB2312" w:cs="仿宋_GB2312" w:hint="eastAsia"/>
          <w:sz w:val="32"/>
          <w:szCs w:val="32"/>
        </w:rPr>
        <w:t>靖州茯苓、龙山百合、隆回金银花、邵阳玉竹、新晃龙脑</w:t>
      </w:r>
      <w:proofErr w:type="gramStart"/>
      <w:r>
        <w:rPr>
          <w:rFonts w:ascii="仿宋_GB2312" w:eastAsia="仿宋_GB2312" w:hAnsi="仿宋_GB2312" w:cs="仿宋_GB2312" w:hint="eastAsia"/>
          <w:sz w:val="32"/>
          <w:szCs w:val="32"/>
        </w:rPr>
        <w:t>樟</w:t>
      </w:r>
      <w:proofErr w:type="gramEnd"/>
      <w:r>
        <w:rPr>
          <w:rFonts w:ascii="仿宋_GB2312" w:eastAsia="仿宋_GB2312" w:hAnsi="仿宋_GB2312" w:cs="仿宋_GB2312" w:hint="eastAsia"/>
          <w:sz w:val="32"/>
          <w:szCs w:val="32"/>
        </w:rPr>
        <w:t>、湘中栀子、沅江枳壳、平江白术、洪江雪峰天麻等国家地理标志产品。</w:t>
      </w:r>
      <w:r>
        <w:rPr>
          <w:rFonts w:ascii="仿宋_GB2312" w:eastAsia="仿宋_GB2312" w:hAnsi="仿宋_GB2312" w:cs="仿宋_GB2312" w:hint="eastAsia"/>
          <w:sz w:val="32"/>
          <w:szCs w:val="32"/>
        </w:rPr>
        <w:t>湖南省中药材产业发展过程中，因种植环节标准化程度低，加工工艺落后</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导致药材质量参差不齐。开展中药材质量评价新理</w:t>
      </w:r>
      <w:r>
        <w:rPr>
          <w:rFonts w:ascii="仿宋_GB2312" w:eastAsia="仿宋_GB2312" w:hAnsi="仿宋_GB2312" w:cs="仿宋_GB2312" w:hint="eastAsia"/>
          <w:sz w:val="32"/>
          <w:szCs w:val="32"/>
        </w:rPr>
        <w:t>论与新方法研究，对于提升我省中药材种植与加工技术创新水平、提升产业竞争力具有重要的意义。</w:t>
      </w:r>
    </w:p>
    <w:p w:rsidR="001B1E76" w:rsidRDefault="00337F2A">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针对现行的中药质量标准大多只对中药材的单个指标成分进行控制，因此不能有效地评价中药材的内在质量的问题，以湖南主要中药材品种为研究对象，围绕中药材的安全性、真实性与质量优劣开展中药材质量评价的新理论和新方法研究，解决</w:t>
      </w:r>
      <w:r>
        <w:rPr>
          <w:rStyle w:val="grye5"/>
          <w:rFonts w:ascii="仿宋_GB2312" w:eastAsia="仿宋_GB2312" w:hAnsi="仿宋_GB2312" w:cs="仿宋_GB2312" w:hint="eastAsia"/>
          <w:sz w:val="32"/>
          <w:szCs w:val="32"/>
        </w:rPr>
        <w:t>中药材有效性和均</w:t>
      </w:r>
      <w:proofErr w:type="gramStart"/>
      <w:r>
        <w:rPr>
          <w:rStyle w:val="grye5"/>
          <w:rFonts w:ascii="仿宋_GB2312" w:eastAsia="仿宋_GB2312" w:hAnsi="仿宋_GB2312" w:cs="仿宋_GB2312" w:hint="eastAsia"/>
          <w:sz w:val="32"/>
          <w:szCs w:val="32"/>
        </w:rPr>
        <w:t>一</w:t>
      </w:r>
      <w:proofErr w:type="gramEnd"/>
      <w:r>
        <w:rPr>
          <w:rStyle w:val="grye5"/>
          <w:rFonts w:ascii="仿宋_GB2312" w:eastAsia="仿宋_GB2312" w:hAnsi="仿宋_GB2312" w:cs="仿宋_GB2312" w:hint="eastAsia"/>
          <w:sz w:val="32"/>
          <w:szCs w:val="32"/>
        </w:rPr>
        <w:t>性质量控制与评价难题</w:t>
      </w:r>
      <w:r>
        <w:rPr>
          <w:rStyle w:val="grye5"/>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为中药材分析方法的建立和中药质量标准的制定提供技术基础。</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337F2A">
      <w:pPr>
        <w:spacing w:line="600" w:lineRule="exact"/>
        <w:ind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lastRenderedPageBreak/>
        <w:t>10</w:t>
      </w:r>
      <w:r>
        <w:rPr>
          <w:rFonts w:ascii="仿宋_GB2312" w:eastAsia="仿宋_GB2312" w:hAnsi="仿宋_GB2312" w:cs="仿宋_GB2312" w:hint="eastAsia"/>
          <w:color w:val="FF0000"/>
          <w:sz w:val="32"/>
          <w:szCs w:val="32"/>
        </w:rPr>
        <w:t>、重大疾病的分子分型与精准医疗应用基础研究。</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研究意义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心血管疾病、肿瘤、老年神经退行性病、精神疾病、糖尿病和慢性肝病</w:t>
      </w:r>
      <w:r>
        <w:rPr>
          <w:rFonts w:ascii="仿宋_GB2312" w:eastAsia="仿宋_GB2312" w:hAnsi="仿宋_GB2312" w:cs="仿宋_GB2312" w:hint="eastAsia"/>
          <w:sz w:val="32"/>
          <w:szCs w:val="32"/>
        </w:rPr>
        <w:t>等是</w:t>
      </w:r>
      <w:r>
        <w:rPr>
          <w:rFonts w:ascii="仿宋_GB2312" w:eastAsia="仿宋_GB2312" w:hAnsi="仿宋_GB2312" w:cs="仿宋_GB2312" w:hint="eastAsia"/>
          <w:sz w:val="32"/>
          <w:szCs w:val="32"/>
        </w:rPr>
        <w:t>主要危害我国人民健康的重大慢性疾病</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开展</w:t>
      </w:r>
      <w:r>
        <w:rPr>
          <w:rFonts w:ascii="仿宋_GB2312" w:eastAsia="仿宋_GB2312" w:hAnsi="仿宋_GB2312" w:cs="仿宋_GB2312" w:hint="eastAsia"/>
          <w:sz w:val="32"/>
          <w:szCs w:val="32"/>
        </w:rPr>
        <w:t>重大疾病的分子分型与精准医疗应用基础研究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rPr>
        <w:t>实现重大疾病防治从疾病晚期推移至早期乃至疾病发生之前的转移，显著提升我国临床诊疗的技术水平</w:t>
      </w:r>
      <w:r>
        <w:rPr>
          <w:rFonts w:ascii="仿宋_GB2312" w:eastAsia="仿宋_GB2312" w:hAnsi="仿宋_GB2312" w:cs="仿宋_GB2312" w:hint="eastAsia"/>
          <w:sz w:val="32"/>
          <w:szCs w:val="32"/>
        </w:rPr>
        <w:t>等方面具有重要的意义</w:t>
      </w:r>
      <w:r>
        <w:rPr>
          <w:rFonts w:ascii="仿宋_GB2312" w:eastAsia="仿宋_GB2312" w:hAnsi="仿宋_GB2312" w:cs="仿宋_GB2312" w:hint="eastAsia"/>
          <w:sz w:val="32"/>
          <w:szCs w:val="32"/>
        </w:rPr>
        <w:t>，为实现全面建设小康社会的宏伟目标奠定坚实的基础。</w:t>
      </w:r>
    </w:p>
    <w:p w:rsidR="001B1E76" w:rsidRDefault="00337F2A">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主要研究内容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针对基因测序技术等新一代生命组学临床应用技术、生物大数据云计算技术和生物医学分析技术，系统鉴定和优化候选标志谱物，建立疾病分型标准及技术方法，构建大型健康队列和特定疾病队列，为重大疾病的精准防诊治方案和临床决策系统提供技术基础。</w:t>
      </w:r>
    </w:p>
    <w:p w:rsidR="001B1E76" w:rsidRDefault="00337F2A">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预期目标</w:t>
      </w:r>
      <w:r>
        <w:rPr>
          <w:rFonts w:ascii="仿宋_GB2312" w:eastAsia="仿宋_GB2312" w:hAnsi="仿宋_GB2312" w:cs="仿宋_GB2312" w:hint="eastAsia"/>
          <w:sz w:val="32"/>
          <w:szCs w:val="32"/>
        </w:rPr>
        <w:t>：</w:t>
      </w:r>
    </w:p>
    <w:p w:rsidR="001B1E76" w:rsidRDefault="00337F2A">
      <w:pPr>
        <w:spacing w:line="600" w:lineRule="exact"/>
        <w:ind w:firstLine="640"/>
        <w:rPr>
          <w:rFonts w:ascii="黑体" w:eastAsia="黑体" w:hAnsi="黑体" w:cs="黑体"/>
          <w:sz w:val="32"/>
          <w:szCs w:val="32"/>
        </w:rPr>
      </w:pPr>
      <w:r>
        <w:rPr>
          <w:rFonts w:ascii="黑体" w:eastAsia="黑体" w:hAnsi="黑体" w:cs="黑体" w:hint="eastAsia"/>
          <w:sz w:val="32"/>
          <w:szCs w:val="32"/>
        </w:rPr>
        <w:t>三、组织实施</w:t>
      </w:r>
    </w:p>
    <w:p w:rsidR="001B1E76" w:rsidRDefault="00337F2A">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（一）组织公开招标。</w:t>
      </w:r>
      <w:r>
        <w:rPr>
          <w:rFonts w:ascii="仿宋_GB2312" w:eastAsia="仿宋_GB2312" w:hAnsi="仿宋_GB2312" w:cs="仿宋_GB2312" w:hint="eastAsia"/>
          <w:sz w:val="32"/>
          <w:szCs w:val="32"/>
        </w:rPr>
        <w:t>面向全省开展重大项目研究招标，鼓励高校科研院所与湖南具有创新能力的企业创新团队联合开展研究，促进基础研究与关键技术攻关紧密对接。</w:t>
      </w:r>
    </w:p>
    <w:p w:rsidR="001B1E76" w:rsidRDefault="00337F2A">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（二）实施滚动支持。</w:t>
      </w:r>
      <w:r>
        <w:rPr>
          <w:rFonts w:ascii="仿宋_GB2312" w:eastAsia="仿宋_GB2312" w:hAnsi="仿宋_GB2312" w:cs="仿宋_GB2312" w:hint="eastAsia"/>
          <w:sz w:val="32"/>
          <w:szCs w:val="32"/>
        </w:rPr>
        <w:t>经立项的重大项目，每个安排</w:t>
      </w:r>
      <w:r>
        <w:rPr>
          <w:rFonts w:ascii="仿宋_GB2312" w:eastAsia="仿宋_GB2312" w:hAnsi="仿宋_GB2312" w:cs="仿宋_GB2312" w:hint="eastAsia"/>
          <w:sz w:val="32"/>
          <w:szCs w:val="32"/>
        </w:rPr>
        <w:t>100-200</w:t>
      </w:r>
      <w:r>
        <w:rPr>
          <w:rFonts w:ascii="仿宋_GB2312" w:eastAsia="仿宋_GB2312" w:hAnsi="仿宋_GB2312" w:cs="仿宋_GB2312" w:hint="eastAsia"/>
          <w:sz w:val="32"/>
          <w:szCs w:val="32"/>
        </w:rPr>
        <w:t>万元，实行年度目标任务考核，考核结果作为下一年</w:t>
      </w:r>
      <w:r>
        <w:rPr>
          <w:rFonts w:ascii="仿宋_GB2312" w:eastAsia="仿宋_GB2312" w:hAnsi="仿宋_GB2312" w:cs="仿宋_GB2312" w:hint="eastAsia"/>
          <w:sz w:val="32"/>
          <w:szCs w:val="32"/>
        </w:rPr>
        <w:t>度是否继续支持的依据。鼓励联合申报企业为相关领域基础研究提供经费配套和实验场地和实验装置，结合企业需求开展研究。</w:t>
      </w:r>
    </w:p>
    <w:p w:rsidR="001B1E76" w:rsidRDefault="00337F2A">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lastRenderedPageBreak/>
        <w:t>（三）完善评价机制。</w:t>
      </w:r>
      <w:r>
        <w:rPr>
          <w:rFonts w:ascii="仿宋_GB2312" w:eastAsia="仿宋_GB2312" w:hAnsi="仿宋_GB2312" w:cs="仿宋_GB2312" w:hint="eastAsia"/>
          <w:sz w:val="32"/>
          <w:szCs w:val="32"/>
        </w:rPr>
        <w:t>把重大项目的立项、中期评估与验收与创新平台建设、领军人才和优秀青年人才培养结合起来，通过项目实施带动科研平台建设和人才培养。</w:t>
      </w:r>
      <w:r>
        <w:rPr>
          <w:rFonts w:ascii="仿宋_GB2312" w:eastAsia="仿宋_GB2312" w:hAnsi="仿宋_GB2312" w:cs="仿宋_GB2312" w:hint="eastAsia"/>
          <w:sz w:val="32"/>
          <w:szCs w:val="32"/>
        </w:rPr>
        <w:br/>
        <w:t xml:space="preserve">    </w:t>
      </w:r>
      <w:r>
        <w:rPr>
          <w:rFonts w:ascii="仿宋_GB2312" w:eastAsia="仿宋_GB2312" w:hAnsi="仿宋_GB2312" w:cs="仿宋_GB2312" w:hint="eastAsia"/>
          <w:b/>
          <w:sz w:val="32"/>
          <w:szCs w:val="32"/>
        </w:rPr>
        <w:t>（四）促进成果共享。</w:t>
      </w:r>
      <w:r>
        <w:rPr>
          <w:rFonts w:ascii="仿宋_GB2312" w:eastAsia="仿宋_GB2312" w:hAnsi="仿宋_GB2312" w:cs="仿宋_GB2312" w:hint="eastAsia"/>
          <w:sz w:val="32"/>
          <w:szCs w:val="32"/>
        </w:rPr>
        <w:t>重大项目的研究成果面向行业内高校院所、特别是湖南省企业共享。鼓励项目承担单位的重大科研基础设施和大型科研仪器向社会开放。</w:t>
      </w:r>
    </w:p>
    <w:sectPr w:rsidR="001B1E7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F2A" w:rsidRDefault="00337F2A">
      <w:r>
        <w:separator/>
      </w:r>
    </w:p>
  </w:endnote>
  <w:endnote w:type="continuationSeparator" w:id="0">
    <w:p w:rsidR="00337F2A" w:rsidRDefault="0033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华文楷体">
    <w:altName w:val="楷体_GB2312"/>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E76" w:rsidRDefault="00337F2A">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B1E76" w:rsidRDefault="00337F2A">
                          <w:pPr>
                            <w:pStyle w:val="a3"/>
                          </w:pPr>
                          <w:r>
                            <w:rPr>
                              <w:rFonts w:hint="eastAsia"/>
                            </w:rPr>
                            <w:fldChar w:fldCharType="begin"/>
                          </w:r>
                          <w:r>
                            <w:rPr>
                              <w:rFonts w:hint="eastAsia"/>
                            </w:rPr>
                            <w:instrText xml:space="preserve"> PAGE  \* MERGEFORMAT </w:instrText>
                          </w:r>
                          <w:r>
                            <w:rPr>
                              <w:rFonts w:hint="eastAsia"/>
                            </w:rPr>
                            <w:fldChar w:fldCharType="separate"/>
                          </w:r>
                          <w:r w:rsidR="007547CA">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B1E76" w:rsidRDefault="00337F2A">
                    <w:pPr>
                      <w:pStyle w:val="a3"/>
                    </w:pPr>
                    <w:r>
                      <w:rPr>
                        <w:rFonts w:hint="eastAsia"/>
                      </w:rPr>
                      <w:fldChar w:fldCharType="begin"/>
                    </w:r>
                    <w:r>
                      <w:rPr>
                        <w:rFonts w:hint="eastAsia"/>
                      </w:rPr>
                      <w:instrText xml:space="preserve"> PAGE  \* MERGEFORMAT </w:instrText>
                    </w:r>
                    <w:r>
                      <w:rPr>
                        <w:rFonts w:hint="eastAsia"/>
                      </w:rPr>
                      <w:fldChar w:fldCharType="separate"/>
                    </w:r>
                    <w:r w:rsidR="007547CA">
                      <w:rPr>
                        <w:noProof/>
                      </w:rPr>
                      <w:t>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F2A" w:rsidRDefault="00337F2A">
      <w:r>
        <w:separator/>
      </w:r>
    </w:p>
  </w:footnote>
  <w:footnote w:type="continuationSeparator" w:id="0">
    <w:p w:rsidR="00337F2A" w:rsidRDefault="00337F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D7F7B"/>
    <w:rsid w:val="00146955"/>
    <w:rsid w:val="001B1E76"/>
    <w:rsid w:val="00275AF1"/>
    <w:rsid w:val="00337F2A"/>
    <w:rsid w:val="003F5246"/>
    <w:rsid w:val="00672A83"/>
    <w:rsid w:val="007547CA"/>
    <w:rsid w:val="00FE0DD8"/>
    <w:rsid w:val="030338AB"/>
    <w:rsid w:val="05CA5D5D"/>
    <w:rsid w:val="06BA71FE"/>
    <w:rsid w:val="07D717AB"/>
    <w:rsid w:val="0A5B4534"/>
    <w:rsid w:val="10E52ED4"/>
    <w:rsid w:val="165D7F7B"/>
    <w:rsid w:val="18D02E7D"/>
    <w:rsid w:val="1AAD2484"/>
    <w:rsid w:val="1B0571EF"/>
    <w:rsid w:val="20157D65"/>
    <w:rsid w:val="276140FA"/>
    <w:rsid w:val="2E174025"/>
    <w:rsid w:val="33192D6F"/>
    <w:rsid w:val="34D60F83"/>
    <w:rsid w:val="3587588F"/>
    <w:rsid w:val="36797CAA"/>
    <w:rsid w:val="397A6595"/>
    <w:rsid w:val="3DBC0F41"/>
    <w:rsid w:val="3E497E5C"/>
    <w:rsid w:val="3EAB2BA2"/>
    <w:rsid w:val="40364950"/>
    <w:rsid w:val="427E1EC5"/>
    <w:rsid w:val="46EE4FE9"/>
    <w:rsid w:val="4A7C5967"/>
    <w:rsid w:val="4BE5009F"/>
    <w:rsid w:val="4CD07D7B"/>
    <w:rsid w:val="508D293C"/>
    <w:rsid w:val="575122C5"/>
    <w:rsid w:val="5B774686"/>
    <w:rsid w:val="5F16305A"/>
    <w:rsid w:val="62AC03DE"/>
    <w:rsid w:val="650858DE"/>
    <w:rsid w:val="660E4FB8"/>
    <w:rsid w:val="686545B8"/>
    <w:rsid w:val="6D473671"/>
    <w:rsid w:val="7D6076B0"/>
    <w:rsid w:val="7F415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FollowedHyperlink"/>
    <w:basedOn w:val="a0"/>
    <w:qFormat/>
    <w:rPr>
      <w:color w:val="666666"/>
      <w:u w:val="none"/>
    </w:rPr>
  </w:style>
  <w:style w:type="character" w:styleId="HTML">
    <w:name w:val="HTML Definition"/>
    <w:basedOn w:val="a0"/>
    <w:qFormat/>
    <w:rPr>
      <w:i/>
      <w:sz w:val="18"/>
      <w:szCs w:val="18"/>
    </w:rPr>
  </w:style>
  <w:style w:type="character" w:styleId="a8">
    <w:name w:val="Hyperlink"/>
    <w:basedOn w:val="a0"/>
    <w:qFormat/>
    <w:rPr>
      <w:color w:val="666666"/>
      <w:u w:val="none"/>
    </w:rPr>
  </w:style>
  <w:style w:type="character" w:styleId="HTML0">
    <w:name w:val="HTML Code"/>
    <w:basedOn w:val="a0"/>
    <w:qFormat/>
    <w:rPr>
      <w:rFonts w:ascii="Consolas" w:eastAsia="Consolas" w:hAnsi="Consolas" w:cs="Consolas" w:hint="default"/>
      <w:color w:val="C7254E"/>
      <w:sz w:val="21"/>
      <w:szCs w:val="21"/>
      <w:bdr w:val="single" w:sz="4" w:space="0" w:color="E1E1E1"/>
      <w:shd w:val="clear" w:color="auto" w:fill="F9F2F4"/>
    </w:rPr>
  </w:style>
  <w:style w:type="character" w:styleId="HTML1">
    <w:name w:val="HTML Keyboard"/>
    <w:basedOn w:val="a0"/>
    <w:qFormat/>
    <w:rPr>
      <w:rFonts w:ascii="Consolas" w:eastAsia="Consolas" w:hAnsi="Consolas" w:cs="Consolas" w:hint="default"/>
      <w:color w:val="FFFFFF"/>
      <w:sz w:val="21"/>
      <w:szCs w:val="21"/>
      <w:shd w:val="clear" w:color="auto" w:fill="333333"/>
    </w:rPr>
  </w:style>
  <w:style w:type="character" w:styleId="HTML2">
    <w:name w:val="HTML Sample"/>
    <w:basedOn w:val="a0"/>
    <w:qFormat/>
    <w:rPr>
      <w:rFonts w:ascii="Consolas" w:eastAsia="Consolas" w:hAnsi="Consolas" w:cs="Consolas"/>
      <w:sz w:val="21"/>
      <w:szCs w:val="21"/>
    </w:rPr>
  </w:style>
  <w:style w:type="character" w:customStyle="1" w:styleId="layui-layer-tabnow">
    <w:name w:val="layui-layer-tabnow"/>
    <w:basedOn w:val="a0"/>
    <w:qFormat/>
    <w:rPr>
      <w:bdr w:val="single" w:sz="4" w:space="0" w:color="CCCCCC"/>
      <w:shd w:val="clear" w:color="auto" w:fill="FFFFFF"/>
    </w:rPr>
  </w:style>
  <w:style w:type="character" w:customStyle="1" w:styleId="disabled">
    <w:name w:val="disabled"/>
    <w:basedOn w:val="a0"/>
    <w:qFormat/>
    <w:rPr>
      <w:color w:val="ABACAE"/>
      <w:bdr w:val="single" w:sz="4" w:space="0" w:color="ABACAE"/>
    </w:rPr>
  </w:style>
  <w:style w:type="character" w:customStyle="1" w:styleId="blue8">
    <w:name w:val="blue8"/>
    <w:basedOn w:val="a0"/>
    <w:qFormat/>
    <w:rPr>
      <w:color w:val="1D3891"/>
    </w:rPr>
  </w:style>
  <w:style w:type="character" w:customStyle="1" w:styleId="ui-jqgrid-resize">
    <w:name w:val="ui-jqgrid-resize"/>
    <w:basedOn w:val="a0"/>
    <w:qFormat/>
  </w:style>
  <w:style w:type="character" w:customStyle="1" w:styleId="ui-jqgrid-resize1">
    <w:name w:val="ui-jqgrid-resize1"/>
    <w:basedOn w:val="a0"/>
    <w:qFormat/>
  </w:style>
  <w:style w:type="character" w:customStyle="1" w:styleId="dian32">
    <w:name w:val="dian32"/>
    <w:basedOn w:val="a0"/>
    <w:qFormat/>
  </w:style>
  <w:style w:type="character" w:customStyle="1" w:styleId="graye">
    <w:name w:val="graye"/>
    <w:basedOn w:val="a0"/>
    <w:qFormat/>
    <w:rPr>
      <w:color w:val="A8A7A7"/>
    </w:rPr>
  </w:style>
  <w:style w:type="character" w:customStyle="1" w:styleId="graye1">
    <w:name w:val="graye1"/>
    <w:basedOn w:val="a0"/>
    <w:qFormat/>
    <w:rPr>
      <w:color w:val="A8A7A7"/>
    </w:rPr>
  </w:style>
  <w:style w:type="character" w:customStyle="1" w:styleId="newdatespan">
    <w:name w:val="new_date_span"/>
    <w:basedOn w:val="a0"/>
    <w:qFormat/>
    <w:rPr>
      <w:b/>
      <w:color w:val="999999"/>
      <w:sz w:val="14"/>
      <w:szCs w:val="14"/>
    </w:rPr>
  </w:style>
  <w:style w:type="character" w:customStyle="1" w:styleId="hover69">
    <w:name w:val="hover69"/>
    <w:basedOn w:val="a0"/>
    <w:qFormat/>
    <w:rPr>
      <w:color w:val="1B8BF9"/>
    </w:rPr>
  </w:style>
  <w:style w:type="character" w:customStyle="1" w:styleId="hover70">
    <w:name w:val="hover70"/>
    <w:basedOn w:val="a0"/>
    <w:qFormat/>
    <w:rPr>
      <w:color w:val="1B8BF9"/>
    </w:rPr>
  </w:style>
  <w:style w:type="character" w:customStyle="1" w:styleId="current26">
    <w:name w:val="current26"/>
    <w:basedOn w:val="a0"/>
    <w:qFormat/>
    <w:rPr>
      <w:color w:val="1B8BF9"/>
    </w:rPr>
  </w:style>
  <w:style w:type="character" w:customStyle="1" w:styleId="current27">
    <w:name w:val="current27"/>
    <w:basedOn w:val="a0"/>
    <w:qFormat/>
    <w:rPr>
      <w:color w:val="1B8BF9"/>
    </w:rPr>
  </w:style>
  <w:style w:type="character" w:customStyle="1" w:styleId="t2">
    <w:name w:val="t2"/>
    <w:basedOn w:val="a0"/>
    <w:qFormat/>
  </w:style>
  <w:style w:type="character" w:customStyle="1" w:styleId="time">
    <w:name w:val="time"/>
    <w:basedOn w:val="a0"/>
    <w:qFormat/>
    <w:rPr>
      <w:color w:val="999999"/>
      <w:sz w:val="12"/>
      <w:szCs w:val="12"/>
    </w:rPr>
  </w:style>
  <w:style w:type="character" w:customStyle="1" w:styleId="before1">
    <w:name w:val="before1"/>
    <w:basedOn w:val="a0"/>
    <w:qFormat/>
    <w:rPr>
      <w:shd w:val="clear" w:color="auto" w:fill="FFFFFF"/>
    </w:rPr>
  </w:style>
  <w:style w:type="character" w:customStyle="1" w:styleId="before2">
    <w:name w:val="before2"/>
    <w:basedOn w:val="a0"/>
    <w:qFormat/>
  </w:style>
  <w:style w:type="character" w:customStyle="1" w:styleId="first-child">
    <w:name w:val="first-child"/>
    <w:basedOn w:val="a0"/>
    <w:qFormat/>
  </w:style>
  <w:style w:type="character" w:customStyle="1" w:styleId="first-child1">
    <w:name w:val="first-child1"/>
    <w:basedOn w:val="a0"/>
    <w:qFormat/>
  </w:style>
  <w:style w:type="character" w:customStyle="1" w:styleId="fr3">
    <w:name w:val="fr3"/>
    <w:basedOn w:val="a0"/>
    <w:qFormat/>
  </w:style>
  <w:style w:type="character" w:customStyle="1" w:styleId="midspan">
    <w:name w:val="mid_span"/>
    <w:basedOn w:val="a0"/>
    <w:qFormat/>
  </w:style>
  <w:style w:type="character" w:customStyle="1" w:styleId="midspan1">
    <w:name w:val="mid_span1"/>
    <w:basedOn w:val="a0"/>
    <w:qFormat/>
  </w:style>
  <w:style w:type="character" w:customStyle="1" w:styleId="lh20">
    <w:name w:val="lh20"/>
    <w:basedOn w:val="a0"/>
    <w:qFormat/>
  </w:style>
  <w:style w:type="character" w:customStyle="1" w:styleId="flit">
    <w:name w:val="flit"/>
    <w:basedOn w:val="a0"/>
    <w:qFormat/>
  </w:style>
  <w:style w:type="character" w:customStyle="1" w:styleId="pink">
    <w:name w:val="pink"/>
    <w:basedOn w:val="a0"/>
    <w:qFormat/>
    <w:rPr>
      <w:shd w:val="clear" w:color="auto" w:fill="F0454D"/>
    </w:rPr>
  </w:style>
  <w:style w:type="character" w:customStyle="1" w:styleId="grye5">
    <w:name w:val="grye5"/>
    <w:basedOn w:val="a0"/>
    <w:qFormat/>
    <w:rPr>
      <w:sz w:val="12"/>
      <w:szCs w:val="12"/>
    </w:rPr>
  </w:style>
  <w:style w:type="character" w:customStyle="1" w:styleId="first-child2">
    <w:name w:val="first-child2"/>
    <w:basedOn w:val="a0"/>
    <w:qFormat/>
  </w:style>
  <w:style w:type="character" w:customStyle="1" w:styleId="fr">
    <w:name w:val="fr"/>
    <w:basedOn w:val="a0"/>
    <w:qFormat/>
    <w:rPr>
      <w:color w:val="999999"/>
      <w:sz w:val="13"/>
      <w:szCs w:val="13"/>
    </w:rPr>
  </w:style>
  <w:style w:type="paragraph" w:customStyle="1" w:styleId="sel">
    <w:name w:val="sel"/>
    <w:basedOn w:val="a"/>
    <w:qFormat/>
    <w:pPr>
      <w:jc w:val="left"/>
    </w:pPr>
    <w:rPr>
      <w:rFonts w:cs="Times New Roman"/>
      <w:kern w:val="0"/>
    </w:rPr>
  </w:style>
  <w:style w:type="paragraph" w:customStyle="1" w:styleId="sel2">
    <w:name w:val="sel2"/>
    <w:basedOn w:val="a"/>
    <w:qFormat/>
    <w:pPr>
      <w:jc w:val="left"/>
    </w:pPr>
    <w:rPr>
      <w:rFonts w:cs="Times New Roman"/>
      <w:kern w:val="0"/>
    </w:rPr>
  </w:style>
  <w:style w:type="paragraph" w:customStyle="1" w:styleId="sel4">
    <w:name w:val="sel4"/>
    <w:basedOn w:val="a"/>
    <w:qFormat/>
    <w:pPr>
      <w:ind w:right="100"/>
      <w:jc w:val="left"/>
    </w:pPr>
    <w:rPr>
      <w:rFonts w:cs="Times New Roman"/>
      <w:kern w:val="0"/>
    </w:rPr>
  </w:style>
  <w:style w:type="paragraph" w:customStyle="1" w:styleId="sel6">
    <w:name w:val="sel6"/>
    <w:basedOn w:val="a"/>
    <w:qFormat/>
    <w:pPr>
      <w:pBdr>
        <w:top w:val="single" w:sz="4" w:space="0" w:color="CCCCCC"/>
        <w:left w:val="single" w:sz="4" w:space="0" w:color="CCCCCC"/>
        <w:bottom w:val="single" w:sz="4" w:space="0" w:color="CCCCCC"/>
        <w:right w:val="single" w:sz="4" w:space="0" w:color="CCCCCC"/>
      </w:pBdr>
      <w:shd w:val="clear" w:color="auto" w:fill="FFFFFF"/>
      <w:spacing w:line="200" w:lineRule="atLeast"/>
      <w:ind w:right="80"/>
      <w:jc w:val="left"/>
      <w:textAlignment w:val="center"/>
    </w:pPr>
    <w:rPr>
      <w:rFonts w:cs="Times New Roman"/>
      <w:color w:val="303D3F"/>
      <w:kern w:val="0"/>
      <w:sz w:val="14"/>
      <w:szCs w:val="14"/>
    </w:rPr>
  </w:style>
  <w:style w:type="paragraph" w:customStyle="1" w:styleId="sel8">
    <w:name w:val="sel8"/>
    <w:basedOn w:val="a"/>
    <w:qFormat/>
    <w:pPr>
      <w:jc w:val="left"/>
    </w:pPr>
    <w:rPr>
      <w:rFonts w:cs="Times New Roman"/>
      <w:kern w:val="0"/>
    </w:rPr>
  </w:style>
  <w:style w:type="paragraph" w:customStyle="1" w:styleId="sel10">
    <w:name w:val="sel10"/>
    <w:basedOn w:val="a"/>
    <w:qFormat/>
    <w:pPr>
      <w:jc w:val="left"/>
    </w:pPr>
    <w:rPr>
      <w:rFonts w:cs="Times New Roman"/>
      <w:kern w:val="0"/>
    </w:rPr>
  </w:style>
  <w:style w:type="paragraph" w:customStyle="1" w:styleId="cover">
    <w:name w:val="cover"/>
    <w:basedOn w:val="a"/>
    <w:qFormat/>
    <w:pPr>
      <w:jc w:val="center"/>
    </w:pPr>
    <w:rPr>
      <w:rFonts w:cs="Times New Roman"/>
      <w:kern w:val="0"/>
    </w:rPr>
  </w:style>
  <w:style w:type="character" w:customStyle="1" w:styleId="blue6">
    <w:name w:val="blue6"/>
    <w:basedOn w:val="a0"/>
    <w:qFormat/>
    <w:rPr>
      <w:color w:val="1D3891"/>
    </w:rPr>
  </w:style>
  <w:style w:type="paragraph" w:customStyle="1" w:styleId="magazineqs">
    <w:name w:val="magazine_qs"/>
    <w:basedOn w:val="a"/>
    <w:qFormat/>
    <w:pPr>
      <w:shd w:val="clear" w:color="auto" w:fill="ECF4FF"/>
      <w:jc w:val="left"/>
    </w:pPr>
    <w:rPr>
      <w:rFonts w:cs="Times New Roman"/>
      <w:kern w:val="0"/>
    </w:rPr>
  </w:style>
  <w:style w:type="character" w:customStyle="1" w:styleId="cover2">
    <w:name w:val="cover2"/>
    <w:basedOn w:val="a0"/>
    <w:qFormat/>
    <w:rPr>
      <w:bdr w:val="single" w:sz="4" w:space="0" w:color="CCCCCC"/>
    </w:rPr>
  </w:style>
  <w:style w:type="character" w:customStyle="1" w:styleId="sel11">
    <w:name w:val="sel11"/>
    <w:basedOn w:val="a0"/>
    <w:qFormat/>
  </w:style>
  <w:style w:type="character" w:customStyle="1" w:styleId="magazineqs1">
    <w:name w:val="magazine_qs1"/>
    <w:basedOn w:val="a0"/>
    <w:qFormat/>
    <w:rPr>
      <w:shd w:val="clear" w:color="auto" w:fill="ECF4FF"/>
    </w:rPr>
  </w:style>
  <w:style w:type="character" w:customStyle="1" w:styleId="grye4">
    <w:name w:val="grye4"/>
    <w:basedOn w:val="a0"/>
    <w:qFormat/>
    <w:rPr>
      <w:sz w:val="12"/>
      <w:szCs w:val="12"/>
    </w:rPr>
  </w:style>
  <w:style w:type="character" w:customStyle="1" w:styleId="highlight3">
    <w:name w:val="highlight3"/>
    <w:basedOn w:val="a0"/>
    <w:qFormat/>
    <w:rPr>
      <w:color w:val="FF0000"/>
      <w:vertAlign w:val="baseline"/>
    </w:rPr>
  </w:style>
  <w:style w:type="character" w:customStyle="1" w:styleId="midspan2">
    <w:name w:val="mid_span2"/>
    <w:basedOn w:val="a0"/>
    <w:qFormat/>
  </w:style>
  <w:style w:type="character" w:customStyle="1" w:styleId="midspan3">
    <w:name w:val="mid_span3"/>
    <w:basedOn w:val="a0"/>
    <w:qFormat/>
  </w:style>
  <w:style w:type="character" w:customStyle="1" w:styleId="hover68">
    <w:name w:val="hover68"/>
    <w:basedOn w:val="a0"/>
    <w:qFormat/>
    <w:rPr>
      <w:color w:val="1B8BF9"/>
    </w:rPr>
  </w:style>
  <w:style w:type="character" w:customStyle="1" w:styleId="blue">
    <w:name w:val="blue"/>
    <w:basedOn w:val="a0"/>
    <w:qFormat/>
    <w:rPr>
      <w:color w:val="1D3891"/>
    </w:rPr>
  </w:style>
  <w:style w:type="character" w:customStyle="1" w:styleId="fr2">
    <w:name w:val="fr2"/>
    <w:basedOn w:val="a0"/>
    <w:qFormat/>
  </w:style>
  <w:style w:type="character" w:customStyle="1" w:styleId="before">
    <w:name w:val="befor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FollowedHyperlink"/>
    <w:basedOn w:val="a0"/>
    <w:qFormat/>
    <w:rPr>
      <w:color w:val="666666"/>
      <w:u w:val="none"/>
    </w:rPr>
  </w:style>
  <w:style w:type="character" w:styleId="HTML">
    <w:name w:val="HTML Definition"/>
    <w:basedOn w:val="a0"/>
    <w:qFormat/>
    <w:rPr>
      <w:i/>
      <w:sz w:val="18"/>
      <w:szCs w:val="18"/>
    </w:rPr>
  </w:style>
  <w:style w:type="character" w:styleId="a8">
    <w:name w:val="Hyperlink"/>
    <w:basedOn w:val="a0"/>
    <w:qFormat/>
    <w:rPr>
      <w:color w:val="666666"/>
      <w:u w:val="none"/>
    </w:rPr>
  </w:style>
  <w:style w:type="character" w:styleId="HTML0">
    <w:name w:val="HTML Code"/>
    <w:basedOn w:val="a0"/>
    <w:qFormat/>
    <w:rPr>
      <w:rFonts w:ascii="Consolas" w:eastAsia="Consolas" w:hAnsi="Consolas" w:cs="Consolas" w:hint="default"/>
      <w:color w:val="C7254E"/>
      <w:sz w:val="21"/>
      <w:szCs w:val="21"/>
      <w:bdr w:val="single" w:sz="4" w:space="0" w:color="E1E1E1"/>
      <w:shd w:val="clear" w:color="auto" w:fill="F9F2F4"/>
    </w:rPr>
  </w:style>
  <w:style w:type="character" w:styleId="HTML1">
    <w:name w:val="HTML Keyboard"/>
    <w:basedOn w:val="a0"/>
    <w:qFormat/>
    <w:rPr>
      <w:rFonts w:ascii="Consolas" w:eastAsia="Consolas" w:hAnsi="Consolas" w:cs="Consolas" w:hint="default"/>
      <w:color w:val="FFFFFF"/>
      <w:sz w:val="21"/>
      <w:szCs w:val="21"/>
      <w:shd w:val="clear" w:color="auto" w:fill="333333"/>
    </w:rPr>
  </w:style>
  <w:style w:type="character" w:styleId="HTML2">
    <w:name w:val="HTML Sample"/>
    <w:basedOn w:val="a0"/>
    <w:qFormat/>
    <w:rPr>
      <w:rFonts w:ascii="Consolas" w:eastAsia="Consolas" w:hAnsi="Consolas" w:cs="Consolas"/>
      <w:sz w:val="21"/>
      <w:szCs w:val="21"/>
    </w:rPr>
  </w:style>
  <w:style w:type="character" w:customStyle="1" w:styleId="layui-layer-tabnow">
    <w:name w:val="layui-layer-tabnow"/>
    <w:basedOn w:val="a0"/>
    <w:qFormat/>
    <w:rPr>
      <w:bdr w:val="single" w:sz="4" w:space="0" w:color="CCCCCC"/>
      <w:shd w:val="clear" w:color="auto" w:fill="FFFFFF"/>
    </w:rPr>
  </w:style>
  <w:style w:type="character" w:customStyle="1" w:styleId="disabled">
    <w:name w:val="disabled"/>
    <w:basedOn w:val="a0"/>
    <w:qFormat/>
    <w:rPr>
      <w:color w:val="ABACAE"/>
      <w:bdr w:val="single" w:sz="4" w:space="0" w:color="ABACAE"/>
    </w:rPr>
  </w:style>
  <w:style w:type="character" w:customStyle="1" w:styleId="blue8">
    <w:name w:val="blue8"/>
    <w:basedOn w:val="a0"/>
    <w:qFormat/>
    <w:rPr>
      <w:color w:val="1D3891"/>
    </w:rPr>
  </w:style>
  <w:style w:type="character" w:customStyle="1" w:styleId="ui-jqgrid-resize">
    <w:name w:val="ui-jqgrid-resize"/>
    <w:basedOn w:val="a0"/>
    <w:qFormat/>
  </w:style>
  <w:style w:type="character" w:customStyle="1" w:styleId="ui-jqgrid-resize1">
    <w:name w:val="ui-jqgrid-resize1"/>
    <w:basedOn w:val="a0"/>
    <w:qFormat/>
  </w:style>
  <w:style w:type="character" w:customStyle="1" w:styleId="dian32">
    <w:name w:val="dian32"/>
    <w:basedOn w:val="a0"/>
    <w:qFormat/>
  </w:style>
  <w:style w:type="character" w:customStyle="1" w:styleId="graye">
    <w:name w:val="graye"/>
    <w:basedOn w:val="a0"/>
    <w:qFormat/>
    <w:rPr>
      <w:color w:val="A8A7A7"/>
    </w:rPr>
  </w:style>
  <w:style w:type="character" w:customStyle="1" w:styleId="graye1">
    <w:name w:val="graye1"/>
    <w:basedOn w:val="a0"/>
    <w:qFormat/>
    <w:rPr>
      <w:color w:val="A8A7A7"/>
    </w:rPr>
  </w:style>
  <w:style w:type="character" w:customStyle="1" w:styleId="newdatespan">
    <w:name w:val="new_date_span"/>
    <w:basedOn w:val="a0"/>
    <w:qFormat/>
    <w:rPr>
      <w:b/>
      <w:color w:val="999999"/>
      <w:sz w:val="14"/>
      <w:szCs w:val="14"/>
    </w:rPr>
  </w:style>
  <w:style w:type="character" w:customStyle="1" w:styleId="hover69">
    <w:name w:val="hover69"/>
    <w:basedOn w:val="a0"/>
    <w:qFormat/>
    <w:rPr>
      <w:color w:val="1B8BF9"/>
    </w:rPr>
  </w:style>
  <w:style w:type="character" w:customStyle="1" w:styleId="hover70">
    <w:name w:val="hover70"/>
    <w:basedOn w:val="a0"/>
    <w:qFormat/>
    <w:rPr>
      <w:color w:val="1B8BF9"/>
    </w:rPr>
  </w:style>
  <w:style w:type="character" w:customStyle="1" w:styleId="current26">
    <w:name w:val="current26"/>
    <w:basedOn w:val="a0"/>
    <w:qFormat/>
    <w:rPr>
      <w:color w:val="1B8BF9"/>
    </w:rPr>
  </w:style>
  <w:style w:type="character" w:customStyle="1" w:styleId="current27">
    <w:name w:val="current27"/>
    <w:basedOn w:val="a0"/>
    <w:qFormat/>
    <w:rPr>
      <w:color w:val="1B8BF9"/>
    </w:rPr>
  </w:style>
  <w:style w:type="character" w:customStyle="1" w:styleId="t2">
    <w:name w:val="t2"/>
    <w:basedOn w:val="a0"/>
    <w:qFormat/>
  </w:style>
  <w:style w:type="character" w:customStyle="1" w:styleId="time">
    <w:name w:val="time"/>
    <w:basedOn w:val="a0"/>
    <w:qFormat/>
    <w:rPr>
      <w:color w:val="999999"/>
      <w:sz w:val="12"/>
      <w:szCs w:val="12"/>
    </w:rPr>
  </w:style>
  <w:style w:type="character" w:customStyle="1" w:styleId="before1">
    <w:name w:val="before1"/>
    <w:basedOn w:val="a0"/>
    <w:qFormat/>
    <w:rPr>
      <w:shd w:val="clear" w:color="auto" w:fill="FFFFFF"/>
    </w:rPr>
  </w:style>
  <w:style w:type="character" w:customStyle="1" w:styleId="before2">
    <w:name w:val="before2"/>
    <w:basedOn w:val="a0"/>
    <w:qFormat/>
  </w:style>
  <w:style w:type="character" w:customStyle="1" w:styleId="first-child">
    <w:name w:val="first-child"/>
    <w:basedOn w:val="a0"/>
    <w:qFormat/>
  </w:style>
  <w:style w:type="character" w:customStyle="1" w:styleId="first-child1">
    <w:name w:val="first-child1"/>
    <w:basedOn w:val="a0"/>
    <w:qFormat/>
  </w:style>
  <w:style w:type="character" w:customStyle="1" w:styleId="fr3">
    <w:name w:val="fr3"/>
    <w:basedOn w:val="a0"/>
    <w:qFormat/>
  </w:style>
  <w:style w:type="character" w:customStyle="1" w:styleId="midspan">
    <w:name w:val="mid_span"/>
    <w:basedOn w:val="a0"/>
    <w:qFormat/>
  </w:style>
  <w:style w:type="character" w:customStyle="1" w:styleId="midspan1">
    <w:name w:val="mid_span1"/>
    <w:basedOn w:val="a0"/>
    <w:qFormat/>
  </w:style>
  <w:style w:type="character" w:customStyle="1" w:styleId="lh20">
    <w:name w:val="lh20"/>
    <w:basedOn w:val="a0"/>
    <w:qFormat/>
  </w:style>
  <w:style w:type="character" w:customStyle="1" w:styleId="flit">
    <w:name w:val="flit"/>
    <w:basedOn w:val="a0"/>
    <w:qFormat/>
  </w:style>
  <w:style w:type="character" w:customStyle="1" w:styleId="pink">
    <w:name w:val="pink"/>
    <w:basedOn w:val="a0"/>
    <w:qFormat/>
    <w:rPr>
      <w:shd w:val="clear" w:color="auto" w:fill="F0454D"/>
    </w:rPr>
  </w:style>
  <w:style w:type="character" w:customStyle="1" w:styleId="grye5">
    <w:name w:val="grye5"/>
    <w:basedOn w:val="a0"/>
    <w:qFormat/>
    <w:rPr>
      <w:sz w:val="12"/>
      <w:szCs w:val="12"/>
    </w:rPr>
  </w:style>
  <w:style w:type="character" w:customStyle="1" w:styleId="first-child2">
    <w:name w:val="first-child2"/>
    <w:basedOn w:val="a0"/>
    <w:qFormat/>
  </w:style>
  <w:style w:type="character" w:customStyle="1" w:styleId="fr">
    <w:name w:val="fr"/>
    <w:basedOn w:val="a0"/>
    <w:qFormat/>
    <w:rPr>
      <w:color w:val="999999"/>
      <w:sz w:val="13"/>
      <w:szCs w:val="13"/>
    </w:rPr>
  </w:style>
  <w:style w:type="paragraph" w:customStyle="1" w:styleId="sel">
    <w:name w:val="sel"/>
    <w:basedOn w:val="a"/>
    <w:qFormat/>
    <w:pPr>
      <w:jc w:val="left"/>
    </w:pPr>
    <w:rPr>
      <w:rFonts w:cs="Times New Roman"/>
      <w:kern w:val="0"/>
    </w:rPr>
  </w:style>
  <w:style w:type="paragraph" w:customStyle="1" w:styleId="sel2">
    <w:name w:val="sel2"/>
    <w:basedOn w:val="a"/>
    <w:qFormat/>
    <w:pPr>
      <w:jc w:val="left"/>
    </w:pPr>
    <w:rPr>
      <w:rFonts w:cs="Times New Roman"/>
      <w:kern w:val="0"/>
    </w:rPr>
  </w:style>
  <w:style w:type="paragraph" w:customStyle="1" w:styleId="sel4">
    <w:name w:val="sel4"/>
    <w:basedOn w:val="a"/>
    <w:qFormat/>
    <w:pPr>
      <w:ind w:right="100"/>
      <w:jc w:val="left"/>
    </w:pPr>
    <w:rPr>
      <w:rFonts w:cs="Times New Roman"/>
      <w:kern w:val="0"/>
    </w:rPr>
  </w:style>
  <w:style w:type="paragraph" w:customStyle="1" w:styleId="sel6">
    <w:name w:val="sel6"/>
    <w:basedOn w:val="a"/>
    <w:qFormat/>
    <w:pPr>
      <w:pBdr>
        <w:top w:val="single" w:sz="4" w:space="0" w:color="CCCCCC"/>
        <w:left w:val="single" w:sz="4" w:space="0" w:color="CCCCCC"/>
        <w:bottom w:val="single" w:sz="4" w:space="0" w:color="CCCCCC"/>
        <w:right w:val="single" w:sz="4" w:space="0" w:color="CCCCCC"/>
      </w:pBdr>
      <w:shd w:val="clear" w:color="auto" w:fill="FFFFFF"/>
      <w:spacing w:line="200" w:lineRule="atLeast"/>
      <w:ind w:right="80"/>
      <w:jc w:val="left"/>
      <w:textAlignment w:val="center"/>
    </w:pPr>
    <w:rPr>
      <w:rFonts w:cs="Times New Roman"/>
      <w:color w:val="303D3F"/>
      <w:kern w:val="0"/>
      <w:sz w:val="14"/>
      <w:szCs w:val="14"/>
    </w:rPr>
  </w:style>
  <w:style w:type="paragraph" w:customStyle="1" w:styleId="sel8">
    <w:name w:val="sel8"/>
    <w:basedOn w:val="a"/>
    <w:qFormat/>
    <w:pPr>
      <w:jc w:val="left"/>
    </w:pPr>
    <w:rPr>
      <w:rFonts w:cs="Times New Roman"/>
      <w:kern w:val="0"/>
    </w:rPr>
  </w:style>
  <w:style w:type="paragraph" w:customStyle="1" w:styleId="sel10">
    <w:name w:val="sel10"/>
    <w:basedOn w:val="a"/>
    <w:qFormat/>
    <w:pPr>
      <w:jc w:val="left"/>
    </w:pPr>
    <w:rPr>
      <w:rFonts w:cs="Times New Roman"/>
      <w:kern w:val="0"/>
    </w:rPr>
  </w:style>
  <w:style w:type="paragraph" w:customStyle="1" w:styleId="cover">
    <w:name w:val="cover"/>
    <w:basedOn w:val="a"/>
    <w:qFormat/>
    <w:pPr>
      <w:jc w:val="center"/>
    </w:pPr>
    <w:rPr>
      <w:rFonts w:cs="Times New Roman"/>
      <w:kern w:val="0"/>
    </w:rPr>
  </w:style>
  <w:style w:type="character" w:customStyle="1" w:styleId="blue6">
    <w:name w:val="blue6"/>
    <w:basedOn w:val="a0"/>
    <w:qFormat/>
    <w:rPr>
      <w:color w:val="1D3891"/>
    </w:rPr>
  </w:style>
  <w:style w:type="paragraph" w:customStyle="1" w:styleId="magazineqs">
    <w:name w:val="magazine_qs"/>
    <w:basedOn w:val="a"/>
    <w:qFormat/>
    <w:pPr>
      <w:shd w:val="clear" w:color="auto" w:fill="ECF4FF"/>
      <w:jc w:val="left"/>
    </w:pPr>
    <w:rPr>
      <w:rFonts w:cs="Times New Roman"/>
      <w:kern w:val="0"/>
    </w:rPr>
  </w:style>
  <w:style w:type="character" w:customStyle="1" w:styleId="cover2">
    <w:name w:val="cover2"/>
    <w:basedOn w:val="a0"/>
    <w:qFormat/>
    <w:rPr>
      <w:bdr w:val="single" w:sz="4" w:space="0" w:color="CCCCCC"/>
    </w:rPr>
  </w:style>
  <w:style w:type="character" w:customStyle="1" w:styleId="sel11">
    <w:name w:val="sel11"/>
    <w:basedOn w:val="a0"/>
    <w:qFormat/>
  </w:style>
  <w:style w:type="character" w:customStyle="1" w:styleId="magazineqs1">
    <w:name w:val="magazine_qs1"/>
    <w:basedOn w:val="a0"/>
    <w:qFormat/>
    <w:rPr>
      <w:shd w:val="clear" w:color="auto" w:fill="ECF4FF"/>
    </w:rPr>
  </w:style>
  <w:style w:type="character" w:customStyle="1" w:styleId="grye4">
    <w:name w:val="grye4"/>
    <w:basedOn w:val="a0"/>
    <w:qFormat/>
    <w:rPr>
      <w:sz w:val="12"/>
      <w:szCs w:val="12"/>
    </w:rPr>
  </w:style>
  <w:style w:type="character" w:customStyle="1" w:styleId="highlight3">
    <w:name w:val="highlight3"/>
    <w:basedOn w:val="a0"/>
    <w:qFormat/>
    <w:rPr>
      <w:color w:val="FF0000"/>
      <w:vertAlign w:val="baseline"/>
    </w:rPr>
  </w:style>
  <w:style w:type="character" w:customStyle="1" w:styleId="midspan2">
    <w:name w:val="mid_span2"/>
    <w:basedOn w:val="a0"/>
    <w:qFormat/>
  </w:style>
  <w:style w:type="character" w:customStyle="1" w:styleId="midspan3">
    <w:name w:val="mid_span3"/>
    <w:basedOn w:val="a0"/>
    <w:qFormat/>
  </w:style>
  <w:style w:type="character" w:customStyle="1" w:styleId="hover68">
    <w:name w:val="hover68"/>
    <w:basedOn w:val="a0"/>
    <w:qFormat/>
    <w:rPr>
      <w:color w:val="1B8BF9"/>
    </w:rPr>
  </w:style>
  <w:style w:type="character" w:customStyle="1" w:styleId="blue">
    <w:name w:val="blue"/>
    <w:basedOn w:val="a0"/>
    <w:qFormat/>
    <w:rPr>
      <w:color w:val="1D3891"/>
    </w:rPr>
  </w:style>
  <w:style w:type="character" w:customStyle="1" w:styleId="fr2">
    <w:name w:val="fr2"/>
    <w:basedOn w:val="a0"/>
    <w:qFormat/>
  </w:style>
  <w:style w:type="character" w:customStyle="1" w:styleId="before">
    <w:name w:val="befor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kjt.hunan.gov.cn/kjt/xxgk/jgzn/nsjg/201512/t20151221_2226967.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797</Words>
  <Characters>4543</Characters>
  <Application>Microsoft Office Word</Application>
  <DocSecurity>0</DocSecurity>
  <Lines>37</Lines>
  <Paragraphs>10</Paragraphs>
  <ScaleCrop>false</ScaleCrop>
  <Company/>
  <LinksUpToDate>false</LinksUpToDate>
  <CharactersWithSpaces>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知桥网廖志明</dc:creator>
  <cp:lastModifiedBy>pc-2</cp:lastModifiedBy>
  <cp:revision>2</cp:revision>
  <dcterms:created xsi:type="dcterms:W3CDTF">2019-12-17T08:24:00Z</dcterms:created>
  <dcterms:modified xsi:type="dcterms:W3CDTF">2019-12-17T08:24:00Z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